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E686E">
      <w:pPr>
        <w:snapToGrid w:val="0"/>
        <w:ind w:left="0" w:leftChars="0" w:firstLine="0" w:firstLineChars="0"/>
        <w:jc w:val="both"/>
        <w:rPr>
          <w:rFonts w:hint="eastAsia" w:asciiTheme="majorEastAsia" w:hAnsiTheme="majorEastAsia" w:eastAsiaTheme="majorEastAsia"/>
          <w:b/>
          <w:color w:val="auto"/>
          <w:sz w:val="36"/>
          <w:szCs w:val="36"/>
          <w:highlight w:val="none"/>
          <w:lang w:val="zh-CN"/>
          <w14:shadow w14:blurRad="50800" w14:dist="38100" w14:dir="2700000" w14:sx="100000" w14:sy="100000" w14:kx="0" w14:ky="0" w14:algn="tl">
            <w14:srgbClr w14:val="000000">
              <w14:alpha w14:val="60000"/>
            </w14:srgbClr>
          </w14:shadow>
        </w:rPr>
      </w:pPr>
      <w:bookmarkStart w:id="0" w:name="_Toc522684814"/>
    </w:p>
    <w:p w14:paraId="35B2530C">
      <w:pPr>
        <w:snapToGrid w:val="0"/>
        <w:ind w:firstLine="723"/>
        <w:jc w:val="center"/>
        <w:rPr>
          <w:rFonts w:ascii="宋体" w:hAnsi="宋体"/>
          <w:b/>
          <w:color w:val="auto"/>
          <w:sz w:val="36"/>
          <w:szCs w:val="36"/>
          <w:highlight w:val="none"/>
          <w14:shadow w14:blurRad="50800" w14:dist="38100" w14:dir="2700000" w14:sx="100000" w14:sy="100000" w14:kx="0" w14:ky="0" w14:algn="tl">
            <w14:srgbClr w14:val="000000">
              <w14:alpha w14:val="60000"/>
            </w14:srgbClr>
          </w14:shadow>
        </w:rPr>
      </w:pPr>
      <w:r>
        <w:rPr>
          <w:rFonts w:hint="eastAsia" w:asciiTheme="majorEastAsia" w:hAnsiTheme="majorEastAsia" w:eastAsiaTheme="majorEastAsia"/>
          <w:b/>
          <w:color w:val="auto"/>
          <w:sz w:val="36"/>
          <w:szCs w:val="36"/>
          <w:highlight w:val="none"/>
          <w:lang w:val="zh-CN"/>
          <w14:shadow w14:blurRad="50800" w14:dist="38100" w14:dir="2700000" w14:sx="100000" w14:sy="100000" w14:kx="0" w14:ky="0" w14:algn="tl">
            <w14:srgbClr w14:val="000000">
              <w14:alpha w14:val="60000"/>
            </w14:srgbClr>
          </w14:shadow>
        </w:rPr>
        <w:t>海 绵 城 市 设 计</w:t>
      </w:r>
      <w:r>
        <w:rPr>
          <w:rFonts w:hint="eastAsia" w:ascii="宋体" w:hAnsi="宋体"/>
          <w:b/>
          <w:color w:val="auto"/>
          <w:sz w:val="36"/>
          <w:szCs w:val="36"/>
          <w:highlight w:val="none"/>
          <w:lang w:val="zh-CN"/>
          <w14:shadow w14:blurRad="50800" w14:dist="38100" w14:dir="2700000" w14:sx="100000" w14:sy="100000" w14:kx="0" w14:ky="0" w14:algn="tl">
            <w14:srgbClr w14:val="000000">
              <w14:alpha w14:val="60000"/>
            </w14:srgbClr>
          </w14:shadow>
        </w:rPr>
        <w:t xml:space="preserve"> 说 明</w:t>
      </w:r>
    </w:p>
    <w:bookmarkEnd w:id="0"/>
    <w:p w14:paraId="55B2B3D5">
      <w:pPr>
        <w:pStyle w:val="2"/>
        <w:spacing w:beforeLines="0"/>
        <w:rPr>
          <w:color w:val="auto"/>
          <w:highlight w:val="none"/>
        </w:rPr>
      </w:pPr>
      <w:r>
        <w:rPr>
          <w:rFonts w:hint="eastAsia"/>
          <w:color w:val="auto"/>
          <w:highlight w:val="none"/>
        </w:rPr>
        <w:t>设计依据</w:t>
      </w:r>
    </w:p>
    <w:p w14:paraId="250A51A5">
      <w:pPr>
        <w:pStyle w:val="28"/>
        <w:numPr>
          <w:ilvl w:val="0"/>
          <w:numId w:val="2"/>
        </w:numPr>
        <w:snapToGrid w:val="0"/>
        <w:ind w:firstLineChars="0"/>
        <w:rPr>
          <w:color w:val="auto"/>
          <w:highlight w:val="none"/>
        </w:rPr>
      </w:pPr>
      <w:r>
        <w:rPr>
          <w:rFonts w:hint="eastAsia"/>
          <w:color w:val="auto"/>
          <w:highlight w:val="none"/>
        </w:rPr>
        <w:t>《广州市海绵城市规划设计导则》                         广州市水务局 2017.11</w:t>
      </w:r>
    </w:p>
    <w:p w14:paraId="732E0BBD">
      <w:pPr>
        <w:pStyle w:val="28"/>
        <w:numPr>
          <w:ilvl w:val="0"/>
          <w:numId w:val="2"/>
        </w:numPr>
        <w:snapToGrid w:val="0"/>
        <w:ind w:firstLineChars="0"/>
        <w:rPr>
          <w:color w:val="auto"/>
          <w:highlight w:val="none"/>
        </w:rPr>
      </w:pPr>
      <w:r>
        <w:rPr>
          <w:rFonts w:hint="eastAsia"/>
          <w:color w:val="auto"/>
          <w:highlight w:val="none"/>
        </w:rPr>
        <w:t>《广州市海绵城市建设交通基础设施技术指引》             广州市水务局 2017.01</w:t>
      </w:r>
    </w:p>
    <w:p w14:paraId="5C11EC03">
      <w:pPr>
        <w:pStyle w:val="28"/>
        <w:numPr>
          <w:ilvl w:val="0"/>
          <w:numId w:val="2"/>
        </w:numPr>
        <w:snapToGrid w:val="0"/>
        <w:ind w:firstLineChars="0"/>
        <w:rPr>
          <w:color w:val="auto"/>
          <w:highlight w:val="none"/>
        </w:rPr>
      </w:pPr>
      <w:r>
        <w:rPr>
          <w:rFonts w:hint="eastAsia"/>
          <w:color w:val="auto"/>
          <w:highlight w:val="none"/>
        </w:rPr>
        <w:t>《广州市海绵城市专项规划》               广州市国土资源和规划委员会 2017.06</w:t>
      </w:r>
    </w:p>
    <w:p w14:paraId="2755A722">
      <w:pPr>
        <w:pStyle w:val="28"/>
        <w:numPr>
          <w:ilvl w:val="0"/>
          <w:numId w:val="2"/>
        </w:numPr>
        <w:snapToGrid w:val="0"/>
        <w:ind w:firstLineChars="0"/>
        <w:rPr>
          <w:color w:val="auto"/>
          <w:highlight w:val="none"/>
        </w:rPr>
      </w:pPr>
      <w:r>
        <w:rPr>
          <w:rFonts w:hint="eastAsia"/>
          <w:color w:val="auto"/>
          <w:highlight w:val="none"/>
        </w:rPr>
        <w:t>《建筑与小区雨水控制及利用工程技术规范》                     GB50400-2016</w:t>
      </w:r>
    </w:p>
    <w:p w14:paraId="03224869">
      <w:pPr>
        <w:pStyle w:val="28"/>
        <w:numPr>
          <w:ilvl w:val="0"/>
          <w:numId w:val="2"/>
        </w:numPr>
        <w:snapToGrid w:val="0"/>
        <w:ind w:firstLineChars="0"/>
        <w:rPr>
          <w:color w:val="auto"/>
          <w:highlight w:val="none"/>
        </w:rPr>
      </w:pPr>
      <w:r>
        <w:rPr>
          <w:rFonts w:hint="eastAsia"/>
          <w:color w:val="auto"/>
          <w:highlight w:val="none"/>
        </w:rPr>
        <w:t>《广州市海绵型道路建设技术指引》                   广州市交通运输局2019.08</w:t>
      </w:r>
    </w:p>
    <w:p w14:paraId="15AF05EF">
      <w:pPr>
        <w:pStyle w:val="28"/>
        <w:numPr>
          <w:ilvl w:val="0"/>
          <w:numId w:val="2"/>
        </w:numPr>
        <w:snapToGrid w:val="0"/>
        <w:ind w:firstLineChars="0"/>
        <w:rPr>
          <w:color w:val="auto"/>
          <w:highlight w:val="none"/>
        </w:rPr>
      </w:pPr>
      <w:r>
        <w:rPr>
          <w:rFonts w:hint="eastAsia"/>
          <w:color w:val="auto"/>
          <w:highlight w:val="none"/>
        </w:rPr>
        <w:t>《</w:t>
      </w:r>
      <w:r>
        <w:rPr>
          <w:rFonts w:hint="eastAsia" w:ascii="宋体" w:hAnsi="宋体"/>
          <w:smallCaps/>
          <w:color w:val="auto"/>
          <w:highlight w:val="none"/>
        </w:rPr>
        <w:t>室外排水设计</w:t>
      </w:r>
      <w:r>
        <w:rPr>
          <w:rFonts w:hint="eastAsia" w:ascii="宋体" w:hAnsi="宋体"/>
          <w:smallCaps/>
          <w:color w:val="auto"/>
          <w:highlight w:val="none"/>
          <w:lang w:val="en-US" w:eastAsia="zh-CN"/>
        </w:rPr>
        <w:t>标准</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GB50014-20</w:t>
      </w:r>
      <w:r>
        <w:rPr>
          <w:rFonts w:hint="eastAsia"/>
          <w:color w:val="auto"/>
          <w:highlight w:val="none"/>
          <w:lang w:val="en-US" w:eastAsia="zh-CN"/>
        </w:rPr>
        <w:t>21</w:t>
      </w:r>
    </w:p>
    <w:p w14:paraId="304C4300">
      <w:pPr>
        <w:pStyle w:val="28"/>
        <w:numPr>
          <w:ilvl w:val="0"/>
          <w:numId w:val="2"/>
        </w:numPr>
        <w:snapToGrid w:val="0"/>
        <w:ind w:firstLineChars="0"/>
        <w:rPr>
          <w:color w:val="auto"/>
          <w:highlight w:val="none"/>
        </w:rPr>
      </w:pPr>
      <w:r>
        <w:rPr>
          <w:rFonts w:hint="eastAsia"/>
          <w:color w:val="auto"/>
          <w:highlight w:val="none"/>
        </w:rPr>
        <w:t xml:space="preserve">《广州空港经济区起步区拆迁区安置区（花东安置区）一期工程勘测技术报告》 </w:t>
      </w:r>
    </w:p>
    <w:p w14:paraId="0F50CE08">
      <w:pPr>
        <w:pStyle w:val="28"/>
        <w:snapToGrid w:val="0"/>
        <w:ind w:firstLine="0" w:firstLineChars="0"/>
        <w:jc w:val="right"/>
        <w:rPr>
          <w:color w:val="auto"/>
          <w:highlight w:val="none"/>
        </w:rPr>
      </w:pPr>
      <w:r>
        <w:rPr>
          <w:rFonts w:hint="eastAsia"/>
          <w:color w:val="auto"/>
          <w:highlight w:val="none"/>
        </w:rPr>
        <w:t>广州省建科建筑设计院有限公司 2021.03</w:t>
      </w:r>
    </w:p>
    <w:p w14:paraId="2D20B0C6">
      <w:pPr>
        <w:pStyle w:val="28"/>
        <w:numPr>
          <w:ilvl w:val="0"/>
          <w:numId w:val="2"/>
        </w:numPr>
        <w:snapToGrid w:val="0"/>
        <w:ind w:firstLineChars="0"/>
        <w:rPr>
          <w:color w:val="auto"/>
          <w:highlight w:val="none"/>
        </w:rPr>
      </w:pPr>
      <w:r>
        <w:rPr>
          <w:rFonts w:hint="eastAsia"/>
          <w:color w:val="auto"/>
          <w:highlight w:val="none"/>
        </w:rPr>
        <w:t>《关于广州空港经济区起步区拆迁安置区（花东安置区）一期工程初步设计及概算的批复》  2021.09</w:t>
      </w:r>
    </w:p>
    <w:p w14:paraId="38166B8D">
      <w:pPr>
        <w:pStyle w:val="28"/>
        <w:numPr>
          <w:ilvl w:val="0"/>
          <w:numId w:val="2"/>
        </w:numPr>
        <w:snapToGrid w:val="0"/>
        <w:ind w:firstLineChars="0"/>
        <w:rPr>
          <w:color w:val="auto"/>
          <w:highlight w:val="none"/>
        </w:rPr>
      </w:pPr>
      <w:r>
        <w:rPr>
          <w:rFonts w:hint="eastAsia"/>
          <w:color w:val="auto"/>
          <w:highlight w:val="none"/>
        </w:rPr>
        <w:t>《工程结构通用规范》（GB55001-2021）</w:t>
      </w:r>
    </w:p>
    <w:p w14:paraId="0015FC8B">
      <w:pPr>
        <w:pStyle w:val="28"/>
        <w:numPr>
          <w:ilvl w:val="0"/>
          <w:numId w:val="2"/>
        </w:numPr>
        <w:snapToGrid w:val="0"/>
        <w:ind w:firstLineChars="0"/>
        <w:rPr>
          <w:color w:val="auto"/>
          <w:highlight w:val="none"/>
        </w:rPr>
      </w:pPr>
      <w:r>
        <w:rPr>
          <w:rFonts w:hint="eastAsia"/>
          <w:color w:val="auto"/>
          <w:highlight w:val="none"/>
        </w:rPr>
        <w:t>《建筑与市政工程抗震通用规范》（GB55002-2021）</w:t>
      </w:r>
    </w:p>
    <w:p w14:paraId="10AFBC8C">
      <w:pPr>
        <w:pStyle w:val="28"/>
        <w:numPr>
          <w:ilvl w:val="0"/>
          <w:numId w:val="2"/>
        </w:numPr>
        <w:snapToGrid w:val="0"/>
        <w:ind w:firstLineChars="0"/>
        <w:rPr>
          <w:color w:val="auto"/>
          <w:highlight w:val="none"/>
        </w:rPr>
      </w:pPr>
      <w:r>
        <w:rPr>
          <w:rFonts w:hint="eastAsia"/>
          <w:color w:val="auto"/>
          <w:highlight w:val="none"/>
        </w:rPr>
        <w:t>《建筑与市政地基基础通用规范》（GB55003-2021）</w:t>
      </w:r>
    </w:p>
    <w:p w14:paraId="795A0C30">
      <w:pPr>
        <w:pStyle w:val="28"/>
        <w:numPr>
          <w:ilvl w:val="0"/>
          <w:numId w:val="2"/>
        </w:numPr>
        <w:snapToGrid w:val="0"/>
        <w:ind w:firstLineChars="0"/>
        <w:rPr>
          <w:color w:val="auto"/>
          <w:highlight w:val="none"/>
        </w:rPr>
      </w:pPr>
      <w:r>
        <w:rPr>
          <w:rFonts w:hint="eastAsia"/>
          <w:color w:val="auto"/>
          <w:highlight w:val="none"/>
        </w:rPr>
        <w:t>《钢结构通用规范》（GB55006-2021）</w:t>
      </w:r>
    </w:p>
    <w:p w14:paraId="0E692233">
      <w:pPr>
        <w:pStyle w:val="28"/>
        <w:numPr>
          <w:ilvl w:val="0"/>
          <w:numId w:val="2"/>
        </w:numPr>
        <w:snapToGrid w:val="0"/>
        <w:ind w:firstLineChars="0"/>
        <w:rPr>
          <w:color w:val="auto"/>
          <w:highlight w:val="none"/>
        </w:rPr>
      </w:pPr>
      <w:r>
        <w:rPr>
          <w:rFonts w:hint="eastAsia"/>
          <w:color w:val="auto"/>
          <w:highlight w:val="none"/>
        </w:rPr>
        <w:t>《砌体结构通用规范》（GB55007-2021）</w:t>
      </w:r>
    </w:p>
    <w:p w14:paraId="056D957F">
      <w:pPr>
        <w:pStyle w:val="28"/>
        <w:numPr>
          <w:ilvl w:val="0"/>
          <w:numId w:val="2"/>
        </w:numPr>
        <w:snapToGrid w:val="0"/>
        <w:ind w:firstLineChars="0"/>
        <w:rPr>
          <w:color w:val="auto"/>
          <w:highlight w:val="none"/>
        </w:rPr>
      </w:pPr>
      <w:r>
        <w:rPr>
          <w:rFonts w:hint="eastAsia"/>
          <w:color w:val="auto"/>
          <w:highlight w:val="none"/>
        </w:rPr>
        <w:t>《混凝土结构通用规范》（GB55008-2021）</w:t>
      </w:r>
    </w:p>
    <w:p w14:paraId="1B29CD27">
      <w:pPr>
        <w:pStyle w:val="28"/>
        <w:numPr>
          <w:ilvl w:val="0"/>
          <w:numId w:val="2"/>
        </w:numPr>
        <w:snapToGrid w:val="0"/>
        <w:ind w:firstLineChars="0"/>
        <w:rPr>
          <w:color w:val="auto"/>
          <w:highlight w:val="none"/>
        </w:rPr>
      </w:pPr>
      <w:r>
        <w:rPr>
          <w:rFonts w:hint="eastAsia" w:ascii="宋体" w:hAnsi="宋体"/>
          <w:sz w:val="24"/>
          <w:highlight w:val="none"/>
          <w:lang w:val="en-US" w:eastAsia="zh-CN"/>
        </w:rPr>
        <w:t>《海绵城市建设技术标准》</w:t>
      </w:r>
      <w:r>
        <w:rPr>
          <w:rFonts w:hint="eastAsia" w:ascii="Times New Roman" w:hAnsi="Times New Roman" w:eastAsia="宋体" w:cs="Times New Roman"/>
          <w:color w:val="auto"/>
          <w:highlight w:val="none"/>
          <w:lang w:val="en-US" w:eastAsia="zh-CN"/>
        </w:rPr>
        <w:t>（DBJT15-261-2023）</w:t>
      </w:r>
    </w:p>
    <w:p w14:paraId="186A9980">
      <w:pPr>
        <w:pStyle w:val="28"/>
        <w:numPr>
          <w:ilvl w:val="0"/>
          <w:numId w:val="2"/>
        </w:numPr>
        <w:snapToGrid w:val="0"/>
        <w:ind w:firstLineChars="0"/>
        <w:rPr>
          <w:color w:val="auto"/>
          <w:highlight w:val="none"/>
        </w:rPr>
      </w:pPr>
      <w:r>
        <w:rPr>
          <w:rFonts w:hint="eastAsia" w:ascii="宋体" w:hAnsi="宋体"/>
          <w:sz w:val="24"/>
          <w:highlight w:val="none"/>
          <w:lang w:val="en-US" w:eastAsia="zh-CN"/>
        </w:rPr>
        <w:t>《海绵城市建设项目设计、施工和运行维护技术规程》</w:t>
      </w:r>
      <w:r>
        <w:rPr>
          <w:rFonts w:hint="eastAsia" w:ascii="Times New Roman" w:hAnsi="Times New Roman" w:eastAsia="宋体" w:cs="Times New Roman"/>
          <w:color w:val="auto"/>
          <w:highlight w:val="none"/>
          <w:lang w:val="en-US" w:eastAsia="zh-CN"/>
        </w:rPr>
        <w:t>（DB4401/T 253-2024）</w:t>
      </w:r>
    </w:p>
    <w:p w14:paraId="48D479DF">
      <w:pPr>
        <w:pStyle w:val="28"/>
        <w:numPr>
          <w:ilvl w:val="0"/>
          <w:numId w:val="2"/>
        </w:numPr>
        <w:snapToGrid w:val="0"/>
        <w:ind w:firstLineChars="0"/>
        <w:rPr>
          <w:color w:val="auto"/>
          <w:highlight w:val="none"/>
        </w:rPr>
      </w:pPr>
      <w:r>
        <w:rPr>
          <w:rFonts w:hint="eastAsia" w:ascii="宋体" w:hAnsi="宋体"/>
          <w:sz w:val="24"/>
          <w:highlight w:val="none"/>
          <w:lang w:val="en-US" w:eastAsia="zh-CN"/>
        </w:rPr>
        <w:t>《花都区海绵城市专项规划》</w:t>
      </w:r>
    </w:p>
    <w:p w14:paraId="29EE36AD">
      <w:pPr>
        <w:pStyle w:val="28"/>
        <w:numPr>
          <w:ilvl w:val="0"/>
          <w:numId w:val="2"/>
        </w:numPr>
        <w:snapToGrid w:val="0"/>
        <w:ind w:firstLineChars="0"/>
        <w:rPr>
          <w:rFonts w:hint="eastAsia" w:ascii="Times New Roman" w:hAnsi="Times New Roman" w:eastAsia="宋体" w:cs="Times New Roman"/>
          <w:color w:val="auto"/>
          <w:highlight w:val="none"/>
          <w:lang w:val="en-US" w:eastAsia="zh-CN"/>
        </w:rPr>
      </w:pPr>
      <w:r>
        <w:rPr>
          <w:rFonts w:hint="eastAsia" w:ascii="宋体" w:hAnsi="宋体"/>
          <w:sz w:val="24"/>
          <w:highlight w:val="none"/>
          <w:lang w:val="en-US" w:eastAsia="zh-CN"/>
        </w:rPr>
        <w:t>《广州市建设项目海绵城市建设管控指标分类指引（试行）》</w:t>
      </w:r>
      <w:r>
        <w:rPr>
          <w:rFonts w:hint="eastAsia" w:ascii="Times New Roman" w:hAnsi="Times New Roman" w:eastAsia="宋体" w:cs="Times New Roman"/>
          <w:color w:val="auto"/>
          <w:highlight w:val="none"/>
          <w:lang w:val="en-US" w:eastAsia="zh-CN"/>
        </w:rPr>
        <w:t>（穗水河湖〔2020〕7 号</w:t>
      </w:r>
      <w:r>
        <w:rPr>
          <w:rFonts w:hint="eastAsia" w:ascii="宋体" w:hAnsi="宋体"/>
          <w:sz w:val="24"/>
          <w:highlight w:val="none"/>
          <w:lang w:val="en-US" w:eastAsia="zh-CN"/>
        </w:rPr>
        <w:t>）</w:t>
      </w:r>
    </w:p>
    <w:p w14:paraId="7CB9124E">
      <w:pPr>
        <w:pStyle w:val="28"/>
        <w:numPr>
          <w:ilvl w:val="0"/>
          <w:numId w:val="2"/>
        </w:numPr>
        <w:snapToGrid w:val="0"/>
        <w:ind w:firstLineChars="0"/>
        <w:rPr>
          <w:color w:val="auto"/>
          <w:highlight w:val="none"/>
        </w:rPr>
      </w:pPr>
      <w:r>
        <w:rPr>
          <w:rFonts w:hint="eastAsia" w:ascii="宋体" w:hAnsi="宋体"/>
          <w:sz w:val="24"/>
          <w:highlight w:val="none"/>
          <w:lang w:val="en-US" w:eastAsia="zh-CN"/>
        </w:rPr>
        <w:t>《广州市海绵城市规划设计导则》</w:t>
      </w:r>
      <w:r>
        <w:rPr>
          <w:rFonts w:hint="eastAsia" w:ascii="Times New Roman" w:hAnsi="Times New Roman" w:eastAsia="宋体" w:cs="Times New Roman"/>
          <w:color w:val="auto"/>
          <w:highlight w:val="none"/>
          <w:lang w:val="en-US" w:eastAsia="zh-CN"/>
        </w:rPr>
        <w:t>（穗水〔2017〕247 号）</w:t>
      </w:r>
    </w:p>
    <w:p w14:paraId="1E34850F">
      <w:pPr>
        <w:pStyle w:val="28"/>
        <w:numPr>
          <w:ilvl w:val="0"/>
          <w:numId w:val="2"/>
        </w:numPr>
        <w:snapToGrid w:val="0"/>
        <w:ind w:firstLineChars="0"/>
        <w:rPr>
          <w:color w:val="auto"/>
          <w:highlight w:val="none"/>
        </w:rPr>
      </w:pPr>
      <w:r>
        <w:rPr>
          <w:rFonts w:hint="eastAsia" w:ascii="宋体" w:hAnsi="宋体"/>
          <w:sz w:val="24"/>
          <w:highlight w:val="none"/>
          <w:lang w:val="en-US" w:eastAsia="zh-CN"/>
        </w:rPr>
        <w:t>《广州市海绵城市建设技术指引及标准图集（试行）》</w:t>
      </w:r>
      <w:r>
        <w:rPr>
          <w:rFonts w:hint="eastAsia" w:ascii="Times New Roman" w:hAnsi="Times New Roman" w:eastAsia="宋体" w:cs="Times New Roman"/>
          <w:color w:val="auto"/>
          <w:highlight w:val="none"/>
          <w:lang w:val="en-US" w:eastAsia="zh-CN"/>
        </w:rPr>
        <w:t>（穗水〔2017〕12 号）</w:t>
      </w:r>
    </w:p>
    <w:p w14:paraId="0877446E">
      <w:pPr>
        <w:pStyle w:val="28"/>
        <w:numPr>
          <w:ilvl w:val="0"/>
          <w:numId w:val="2"/>
        </w:numPr>
        <w:snapToGrid w:val="0"/>
        <w:ind w:firstLineChars="0"/>
        <w:rPr>
          <w:color w:val="auto"/>
          <w:highlight w:val="none"/>
        </w:rPr>
      </w:pPr>
      <w:r>
        <w:rPr>
          <w:rFonts w:hint="eastAsia" w:ascii="宋体" w:hAnsi="宋体" w:eastAsia="宋体" w:cs="Times New Roman"/>
          <w:color w:val="auto"/>
          <w:sz w:val="24"/>
          <w:highlight w:val="none"/>
          <w:lang w:val="en-US" w:eastAsia="zh-CN"/>
        </w:rPr>
        <w:t>《广州市建设项目雨水径流控制办法》（</w:t>
      </w:r>
      <w:r>
        <w:rPr>
          <w:rFonts w:hint="eastAsia" w:ascii="Times New Roman" w:hAnsi="Times New Roman" w:eastAsia="宋体" w:cs="Times New Roman"/>
          <w:color w:val="auto"/>
          <w:highlight w:val="none"/>
          <w:lang w:val="en-US" w:eastAsia="zh-CN"/>
        </w:rPr>
        <w:t>广州市人民政府令第107号）（2019 年第二次修订）</w:t>
      </w:r>
    </w:p>
    <w:p w14:paraId="5B7EF7F3">
      <w:pPr>
        <w:pStyle w:val="3"/>
        <w:bidi w:val="0"/>
        <w:ind w:left="0" w:leftChars="0" w:firstLine="0" w:firstLineChars="0"/>
        <w:rPr>
          <w:rFonts w:hint="eastAsia"/>
          <w:highlight w:val="none"/>
        </w:rPr>
      </w:pPr>
      <w:bookmarkStart w:id="1" w:name="_Toc27477"/>
      <w:bookmarkStart w:id="2" w:name="_Toc85646475"/>
      <w:r>
        <w:rPr>
          <w:rFonts w:hint="eastAsia"/>
          <w:highlight w:val="none"/>
        </w:rPr>
        <w:t>初设评审意见回复及执行情况</w:t>
      </w:r>
      <w:bookmarkEnd w:id="1"/>
      <w:bookmarkEnd w:id="2"/>
    </w:p>
    <w:p w14:paraId="4290C3EC">
      <w:pPr>
        <w:ind w:firstLine="480"/>
        <w:rPr>
          <w:rFonts w:hint="eastAsia" w:cs="宋体"/>
          <w:highlight w:val="none"/>
          <w:lang w:val="en-US" w:eastAsia="zh-CN"/>
        </w:rPr>
      </w:pPr>
      <w:r>
        <w:rPr>
          <w:rFonts w:hint="eastAsia" w:cs="宋体"/>
          <w:highlight w:val="none"/>
          <w:lang w:val="en-US" w:eastAsia="zh-CN"/>
        </w:rPr>
        <w:t>1、进一步完善平纵横设计</w:t>
      </w:r>
    </w:p>
    <w:p w14:paraId="0131AD8C">
      <w:pPr>
        <w:ind w:firstLine="480"/>
        <w:rPr>
          <w:rFonts w:hint="default" w:cs="宋体"/>
          <w:highlight w:val="none"/>
          <w:lang w:val="en-US" w:eastAsia="zh-CN"/>
        </w:rPr>
      </w:pPr>
      <w:r>
        <w:rPr>
          <w:rFonts w:hint="eastAsia" w:cs="宋体"/>
          <w:highlight w:val="none"/>
          <w:lang w:val="en-US" w:eastAsia="zh-CN"/>
        </w:rPr>
        <w:t>回复：按意见修改，补充远期规划道路线及远期支路四横断面。</w:t>
      </w:r>
    </w:p>
    <w:p w14:paraId="27650BFB">
      <w:pPr>
        <w:rPr>
          <w:rFonts w:hint="eastAsia" w:cs="宋体"/>
          <w:highlight w:val="none"/>
          <w:lang w:val="en-US" w:eastAsia="zh-CN"/>
        </w:rPr>
      </w:pPr>
      <w:r>
        <w:rPr>
          <w:rFonts w:hint="eastAsia" w:cs="宋体"/>
          <w:highlight w:val="none"/>
          <w:lang w:val="en-US" w:eastAsia="zh-CN"/>
        </w:rPr>
        <w:t>2、学校区域建议增加限速标志、注意儿童标志。</w:t>
      </w:r>
    </w:p>
    <w:p w14:paraId="6464B692">
      <w:pPr>
        <w:ind w:firstLine="480"/>
        <w:rPr>
          <w:rFonts w:hint="default" w:cs="宋体"/>
          <w:highlight w:val="none"/>
          <w:lang w:val="en-US" w:eastAsia="zh-CN"/>
        </w:rPr>
      </w:pPr>
      <w:r>
        <w:rPr>
          <w:rFonts w:hint="eastAsia" w:cs="宋体"/>
          <w:highlight w:val="none"/>
          <w:lang w:val="en-US" w:eastAsia="zh-CN"/>
        </w:rPr>
        <w:t>回复：按意见补充。</w:t>
      </w:r>
    </w:p>
    <w:p w14:paraId="36B5B9FF">
      <w:pPr>
        <w:ind w:firstLine="480"/>
        <w:rPr>
          <w:rFonts w:hint="eastAsia" w:cs="宋体"/>
          <w:highlight w:val="none"/>
          <w:lang w:val="en-US" w:eastAsia="zh-CN"/>
        </w:rPr>
      </w:pPr>
      <w:r>
        <w:rPr>
          <w:rFonts w:hint="eastAsia" w:cs="宋体"/>
          <w:highlight w:val="none"/>
          <w:lang w:val="en-US" w:eastAsia="zh-CN"/>
        </w:rPr>
        <w:t>3、市政消火栓应采用防撞型。</w:t>
      </w:r>
    </w:p>
    <w:p w14:paraId="63D0B37A">
      <w:pPr>
        <w:ind w:firstLine="480"/>
        <w:rPr>
          <w:rFonts w:hint="eastAsia"/>
          <w:highlight w:val="none"/>
        </w:rPr>
      </w:pPr>
      <w:r>
        <w:rPr>
          <w:rFonts w:hint="eastAsia" w:cs="宋体"/>
          <w:highlight w:val="none"/>
          <w:lang w:val="en-US" w:eastAsia="zh-CN"/>
        </w:rPr>
        <w:t>回复：按意见补充。</w:t>
      </w:r>
    </w:p>
    <w:p w14:paraId="51EF12A6">
      <w:pPr>
        <w:pStyle w:val="28"/>
        <w:numPr>
          <w:ilvl w:val="0"/>
          <w:numId w:val="0"/>
        </w:numPr>
        <w:snapToGrid w:val="0"/>
        <w:ind w:left="480" w:leftChars="0"/>
        <w:rPr>
          <w:color w:val="auto"/>
          <w:highlight w:val="none"/>
        </w:rPr>
      </w:pPr>
    </w:p>
    <w:p w14:paraId="32B03B60">
      <w:pPr>
        <w:pStyle w:val="28"/>
        <w:numPr>
          <w:ilvl w:val="0"/>
          <w:numId w:val="0"/>
        </w:numPr>
        <w:snapToGrid w:val="0"/>
        <w:ind w:left="480" w:leftChars="0"/>
        <w:rPr>
          <w:color w:val="auto"/>
          <w:highlight w:val="none"/>
        </w:rPr>
      </w:pPr>
    </w:p>
    <w:p w14:paraId="409C1D27">
      <w:pPr>
        <w:pStyle w:val="2"/>
        <w:spacing w:beforeLines="0"/>
        <w:rPr>
          <w:color w:val="auto"/>
          <w:highlight w:val="none"/>
        </w:rPr>
      </w:pPr>
      <w:r>
        <w:rPr>
          <w:rFonts w:hint="eastAsia"/>
          <w:color w:val="auto"/>
          <w:highlight w:val="none"/>
        </w:rPr>
        <w:t>海绵城市设计背景</w:t>
      </w:r>
    </w:p>
    <w:p w14:paraId="45410050">
      <w:pPr>
        <w:snapToGrid w:val="0"/>
        <w:ind w:firstLine="480"/>
        <w:rPr>
          <w:color w:val="auto"/>
          <w:highlight w:val="none"/>
        </w:rPr>
      </w:pPr>
      <w:r>
        <w:rPr>
          <w:rFonts w:hint="eastAsia"/>
          <w:color w:val="auto"/>
          <w:highlight w:val="none"/>
        </w:rPr>
        <w:t>低影响开发雨水系统（海绵城市）是指城市能够像海绵一样，在使用环境变化和应对自然灾害等方面具有良好的弹性，下雨时吸雨、蓄水、渗水、净水，需要时将蓄存的水加以利用。海绵城市建设应遵循生态优先等原则，将自然途径与人工措施相结合，在确保城市排水防涝安全的前提下，最大限度地实现与谁在城市区域的存积、渗透和精华，促进雨水资源的利用和生态保护。在海绵建设过程中，应统筹自然降水、地表水和地下水的系统性，协调给水、排水等水循环利用各环节，并考虑其复杂性和长期性。</w:t>
      </w:r>
    </w:p>
    <w:p w14:paraId="706EB255">
      <w:pPr>
        <w:pStyle w:val="3"/>
        <w:rPr>
          <w:rFonts w:hint="eastAsia"/>
          <w:bCs/>
          <w:color w:val="auto"/>
          <w:highlight w:val="none"/>
        </w:rPr>
      </w:pPr>
      <w:r>
        <w:rPr>
          <w:rFonts w:hint="eastAsia"/>
          <w:color w:val="auto"/>
          <w:highlight w:val="none"/>
        </w:rPr>
        <w:t>海绵设施建设目标</w:t>
      </w:r>
    </w:p>
    <w:p w14:paraId="09AA1557">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val="en-US" w:eastAsia="zh-CN"/>
        </w:rPr>
        <w:t>1、</w:t>
      </w:r>
      <w:r>
        <w:rPr>
          <w:rFonts w:hint="eastAsia" w:ascii="宋体" w:hAnsi="宋体"/>
          <w:color w:val="auto"/>
          <w:highlight w:val="none"/>
          <w:lang w:eastAsia="zh-CN"/>
        </w:rPr>
        <w:t>根据《广州市建设项目雨水径流控制办法》（广州市人民政府令书（第107号）（2019年第二次修订）《广州市海绵城市建设管理办法》（穗府办规〔2020〕27号）《广州市海绵城市规划设计导则》《广州市建设项目海绵城市建设管控指标分类指引（试行）》确定场地海绵城市设计目标为：</w:t>
      </w:r>
    </w:p>
    <w:p w14:paraId="09060FB0">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年径流污染削减率（以TSS计）为50%；</w:t>
      </w:r>
    </w:p>
    <w:p w14:paraId="50E645D8">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管网设计重现期为5年一遇；</w:t>
      </w:r>
    </w:p>
    <w:p w14:paraId="4C400ADC">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内涝防治重现期为100年一遇；</w:t>
      </w:r>
    </w:p>
    <w:p w14:paraId="0D90ED00">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建设后雨水径流量不大于建设前。</w:t>
      </w:r>
    </w:p>
    <w:p w14:paraId="77F8A5EC">
      <w:pPr>
        <w:adjustRightInd w:val="0"/>
        <w:spacing w:line="360" w:lineRule="auto"/>
        <w:ind w:firstLine="480" w:firstLineChars="200"/>
        <w:jc w:val="both"/>
        <w:rPr>
          <w:color w:val="auto"/>
          <w:highlight w:val="none"/>
          <w:lang w:eastAsia="zh-CN"/>
        </w:rPr>
      </w:pPr>
      <w:r>
        <w:rPr>
          <w:rFonts w:hint="eastAsia" w:ascii="宋体" w:hAnsi="宋体"/>
          <w:color w:val="auto"/>
          <w:highlight w:val="none"/>
          <w:lang w:eastAsia="zh-CN"/>
        </w:rPr>
        <w:t xml:space="preserve">根据《广州市海绵城市建设指标体系（试行）》、五局联合印发《广州市建设项目海绵城市建设管控指标分类指引（试行）的通知》（2020 年 10 月），本工程道路海绵城市建设指标要求如下： </w:t>
      </w:r>
    </w:p>
    <w:p w14:paraId="72C23108">
      <w:pPr>
        <w:pStyle w:val="28"/>
        <w:snapToGrid w:val="0"/>
        <w:ind w:firstLine="480"/>
        <w:jc w:val="center"/>
        <w:rPr>
          <w:rFonts w:hint="eastAsia"/>
          <w:b/>
          <w:bCs/>
          <w:color w:val="auto"/>
          <w:highlight w:val="none"/>
          <w:lang w:eastAsia="zh-CN"/>
        </w:rPr>
      </w:pPr>
      <w:r>
        <w:rPr>
          <w:rFonts w:hint="eastAsia"/>
          <w:b/>
          <w:bCs/>
          <w:color w:val="auto"/>
          <w:highlight w:val="none"/>
          <w:lang w:eastAsia="zh-CN"/>
        </w:rPr>
        <w:t>海绵城市建设指标一览表</w:t>
      </w:r>
    </w:p>
    <w:tbl>
      <w:tblPr>
        <w:tblStyle w:val="17"/>
        <w:tblW w:w="4125" w:type="pct"/>
        <w:jc w:val="center"/>
        <w:tblLayout w:type="autofit"/>
        <w:tblCellMar>
          <w:top w:w="0" w:type="dxa"/>
          <w:left w:w="108" w:type="dxa"/>
          <w:bottom w:w="0" w:type="dxa"/>
          <w:right w:w="108" w:type="dxa"/>
        </w:tblCellMar>
      </w:tblPr>
      <w:tblGrid>
        <w:gridCol w:w="883"/>
        <w:gridCol w:w="1544"/>
        <w:gridCol w:w="2161"/>
        <w:gridCol w:w="1590"/>
        <w:gridCol w:w="1141"/>
        <w:gridCol w:w="1319"/>
      </w:tblGrid>
      <w:tr w14:paraId="3A1E0C3E">
        <w:tblPrEx>
          <w:tblCellMar>
            <w:top w:w="0" w:type="dxa"/>
            <w:left w:w="108" w:type="dxa"/>
            <w:bottom w:w="0" w:type="dxa"/>
            <w:right w:w="108" w:type="dxa"/>
          </w:tblCellMar>
        </w:tblPrEx>
        <w:trPr>
          <w:trHeight w:val="62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1DA4E477">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序号</w:t>
            </w:r>
          </w:p>
        </w:tc>
        <w:tc>
          <w:tcPr>
            <w:tcW w:w="893" w:type="pct"/>
            <w:tcBorders>
              <w:top w:val="single" w:color="000000" w:sz="4" w:space="0"/>
              <w:left w:val="single" w:color="000000" w:sz="4" w:space="0"/>
              <w:bottom w:val="single" w:color="000000" w:sz="4" w:space="0"/>
              <w:right w:val="single" w:color="000000" w:sz="4" w:space="0"/>
              <w:tl2br w:val="nil"/>
              <w:tr2bl w:val="nil"/>
            </w:tcBorders>
            <w:vAlign w:val="center"/>
          </w:tcPr>
          <w:p w14:paraId="4F647E64">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一级指标</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02661552">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二级指标</w:t>
            </w:r>
          </w:p>
        </w:tc>
        <w:tc>
          <w:tcPr>
            <w:tcW w:w="920" w:type="pct"/>
            <w:tcBorders>
              <w:top w:val="single" w:color="000000" w:sz="4" w:space="0"/>
              <w:left w:val="single" w:color="000000" w:sz="4" w:space="0"/>
              <w:bottom w:val="single" w:color="000000" w:sz="4" w:space="0"/>
              <w:right w:val="single" w:color="000000" w:sz="4" w:space="0"/>
              <w:tl2br w:val="nil"/>
              <w:tr2bl w:val="nil"/>
            </w:tcBorders>
          </w:tcPr>
          <w:p w14:paraId="3DFA8FE3">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lang w:eastAsia="zh-CN"/>
              </w:rPr>
            </w:pPr>
            <w:r>
              <w:rPr>
                <w:rFonts w:hint="eastAsia" w:ascii="宋体" w:hAnsi="宋体" w:cs="宋体"/>
                <w:color w:val="auto"/>
                <w:spacing w:val="-12"/>
                <w:sz w:val="21"/>
                <w:szCs w:val="24"/>
                <w:highlight w:val="none"/>
                <w:lang w:eastAsia="zh-CN"/>
              </w:rPr>
              <w:t>新建</w:t>
            </w:r>
            <w:r>
              <w:rPr>
                <w:rFonts w:hint="eastAsia" w:ascii="宋体" w:hAnsi="宋体" w:cs="宋体"/>
                <w:color w:val="auto"/>
                <w:sz w:val="21"/>
                <w:szCs w:val="24"/>
                <w:highlight w:val="none"/>
                <w:lang w:eastAsia="zh-CN"/>
              </w:rPr>
              <w:t>（</w:t>
            </w:r>
            <w:r>
              <w:rPr>
                <w:rFonts w:hint="eastAsia" w:ascii="宋体" w:hAnsi="宋体" w:cs="宋体"/>
                <w:color w:val="auto"/>
                <w:spacing w:val="-2"/>
                <w:sz w:val="21"/>
                <w:szCs w:val="24"/>
                <w:highlight w:val="none"/>
                <w:lang w:eastAsia="zh-CN"/>
              </w:rPr>
              <w:t>含扩建、</w:t>
            </w:r>
            <w:r>
              <w:rPr>
                <w:rFonts w:hint="eastAsia" w:ascii="宋体" w:hAnsi="宋体" w:cs="宋体"/>
                <w:color w:val="auto"/>
                <w:spacing w:val="-3"/>
                <w:sz w:val="21"/>
                <w:szCs w:val="24"/>
                <w:highlight w:val="none"/>
                <w:lang w:eastAsia="zh-CN"/>
              </w:rPr>
              <w:t>成片改造）</w:t>
            </w:r>
            <w:r>
              <w:rPr>
                <w:rFonts w:hint="eastAsia" w:ascii="宋体" w:hAnsi="宋体" w:cs="宋体"/>
                <w:color w:val="auto"/>
                <w:sz w:val="21"/>
                <w:szCs w:val="24"/>
                <w:highlight w:val="none"/>
                <w:lang w:eastAsia="zh-CN"/>
              </w:rPr>
              <w:t xml:space="preserve"> </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032AC761">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改建</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13AA2F27">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指标类型</w:t>
            </w:r>
          </w:p>
        </w:tc>
      </w:tr>
      <w:tr w14:paraId="477E6CD6">
        <w:tblPrEx>
          <w:tblCellMar>
            <w:top w:w="0" w:type="dxa"/>
            <w:left w:w="108" w:type="dxa"/>
            <w:bottom w:w="0" w:type="dxa"/>
            <w:right w:w="108" w:type="dxa"/>
          </w:tblCellMar>
        </w:tblPrEx>
        <w:trPr>
          <w:trHeight w:val="30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0316070B">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1</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01D832D8">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pacing w:val="-3"/>
                <w:sz w:val="21"/>
                <w:szCs w:val="24"/>
                <w:highlight w:val="none"/>
                <w:lang w:eastAsia="zh-CN"/>
              </w:rPr>
            </w:pPr>
            <w:r>
              <w:rPr>
                <w:rFonts w:hint="eastAsia" w:ascii="宋体" w:hAnsi="宋体" w:cs="宋体"/>
                <w:color w:val="auto"/>
                <w:spacing w:val="-3"/>
                <w:sz w:val="21"/>
                <w:szCs w:val="24"/>
                <w:highlight w:val="none"/>
                <w:lang w:eastAsia="zh-CN"/>
              </w:rPr>
              <w:t>年径流总量控</w:t>
            </w:r>
          </w:p>
          <w:p w14:paraId="5A35712F">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lang w:eastAsia="zh-CN"/>
              </w:rPr>
            </w:pPr>
            <w:r>
              <w:rPr>
                <w:rFonts w:hint="eastAsia" w:ascii="宋体" w:hAnsi="宋体" w:cs="宋体"/>
                <w:color w:val="auto"/>
                <w:spacing w:val="-3"/>
                <w:sz w:val="21"/>
                <w:szCs w:val="24"/>
                <w:highlight w:val="none"/>
                <w:lang w:eastAsia="zh-CN"/>
              </w:rPr>
              <w:t>制率</w:t>
            </w:r>
            <w:r>
              <w:rPr>
                <w:rFonts w:hint="eastAsia" w:ascii="宋体" w:hAnsi="宋体" w:cs="宋体"/>
                <w:color w:val="auto"/>
                <w:position w:val="11"/>
                <w:sz w:val="11"/>
                <w:szCs w:val="24"/>
                <w:highlight w:val="none"/>
                <w:lang w:eastAsia="zh-CN"/>
              </w:rPr>
              <w:t>（1</w:t>
            </w:r>
            <w:r>
              <w:rPr>
                <w:rFonts w:hint="eastAsia" w:ascii="宋体" w:hAnsi="宋体" w:cs="宋体"/>
                <w:color w:val="auto"/>
                <w:spacing w:val="-48"/>
                <w:position w:val="11"/>
                <w:sz w:val="11"/>
                <w:szCs w:val="24"/>
                <w:highlight w:val="none"/>
                <w:lang w:eastAsia="zh-CN"/>
              </w:rPr>
              <w:t>）</w:t>
            </w:r>
            <w:r>
              <w:rPr>
                <w:rFonts w:hint="eastAsia" w:ascii="宋体" w:hAnsi="宋体" w:cs="宋体"/>
                <w:color w:val="auto"/>
                <w:sz w:val="21"/>
                <w:szCs w:val="24"/>
                <w:highlight w:val="none"/>
                <w:lang w:eastAsia="zh-CN"/>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509A2932">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lang w:eastAsia="zh-CN"/>
              </w:rPr>
            </w:pPr>
            <w:r>
              <w:rPr>
                <w:rFonts w:hint="eastAsia" w:ascii="宋体" w:hAnsi="宋体" w:cs="宋体"/>
                <w:color w:val="auto"/>
                <w:sz w:val="21"/>
                <w:szCs w:val="24"/>
                <w:highlight w:val="none"/>
                <w:lang w:eastAsia="zh-CN"/>
              </w:rPr>
              <w:t xml:space="preserve"> </w:t>
            </w:r>
          </w:p>
        </w:tc>
        <w:tc>
          <w:tcPr>
            <w:tcW w:w="920" w:type="pct"/>
            <w:tcBorders>
              <w:top w:val="single" w:color="000000" w:sz="4" w:space="0"/>
              <w:left w:val="single" w:color="000000" w:sz="4" w:space="0"/>
              <w:bottom w:val="single" w:color="000000" w:sz="4" w:space="0"/>
              <w:right w:val="single" w:color="000000" w:sz="4" w:space="0"/>
              <w:tl2br w:val="nil"/>
              <w:tr2bl w:val="nil"/>
            </w:tcBorders>
            <w:vAlign w:val="center"/>
          </w:tcPr>
          <w:p w14:paraId="078C15D4">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≥70%</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74EF2FED">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40F1B018">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分类指导</w:t>
            </w:r>
          </w:p>
        </w:tc>
      </w:tr>
      <w:tr w14:paraId="0AD6B64D">
        <w:tblPrEx>
          <w:tblCellMar>
            <w:top w:w="0" w:type="dxa"/>
            <w:left w:w="108" w:type="dxa"/>
            <w:bottom w:w="0" w:type="dxa"/>
            <w:right w:w="108" w:type="dxa"/>
          </w:tblCellMar>
        </w:tblPrEx>
        <w:trPr>
          <w:trHeight w:val="62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3C22B8CD">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2</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57A9EA2F">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4DDFD059">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年径流污染削减率</w:t>
            </w:r>
          </w:p>
        </w:tc>
        <w:tc>
          <w:tcPr>
            <w:tcW w:w="920" w:type="pct"/>
            <w:tcBorders>
              <w:top w:val="single" w:color="000000" w:sz="4" w:space="0"/>
              <w:left w:val="single" w:color="000000" w:sz="4" w:space="0"/>
              <w:bottom w:val="single" w:color="000000" w:sz="4" w:space="0"/>
              <w:right w:val="single" w:color="000000" w:sz="4" w:space="0"/>
              <w:tl2br w:val="nil"/>
              <w:tr2bl w:val="nil"/>
            </w:tcBorders>
            <w:vAlign w:val="center"/>
          </w:tcPr>
          <w:p w14:paraId="51945B65">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≥50%</w:t>
            </w:r>
          </w:p>
        </w:tc>
        <w:tc>
          <w:tcPr>
            <w:tcW w:w="659" w:type="pct"/>
            <w:tcBorders>
              <w:top w:val="single" w:color="000000" w:sz="4" w:space="0"/>
              <w:left w:val="single" w:color="000000" w:sz="4" w:space="0"/>
              <w:bottom w:val="single" w:color="000000" w:sz="4" w:space="0"/>
              <w:right w:val="single" w:color="000000" w:sz="4" w:space="0"/>
              <w:tl2br w:val="nil"/>
              <w:tr2bl w:val="nil"/>
            </w:tcBorders>
          </w:tcPr>
          <w:p w14:paraId="54884FC4">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≥40% </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22E99928">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约束性</w:t>
            </w:r>
          </w:p>
        </w:tc>
      </w:tr>
      <w:tr w14:paraId="37689A94">
        <w:tblPrEx>
          <w:tblCellMar>
            <w:top w:w="0" w:type="dxa"/>
            <w:left w:w="108" w:type="dxa"/>
            <w:bottom w:w="0" w:type="dxa"/>
            <w:right w:w="108" w:type="dxa"/>
          </w:tblCellMar>
        </w:tblPrEx>
        <w:trPr>
          <w:trHeight w:val="62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235A893C">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3</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3667D2A6">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641528BC">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一般城市道路绿地率 </w:t>
            </w:r>
          </w:p>
        </w:tc>
        <w:tc>
          <w:tcPr>
            <w:tcW w:w="1580" w:type="pct"/>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A084874">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≥15%</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54F07DD3">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鼓励性</w:t>
            </w:r>
          </w:p>
        </w:tc>
      </w:tr>
      <w:tr w14:paraId="35CE1F2B">
        <w:tblPrEx>
          <w:tblCellMar>
            <w:top w:w="0" w:type="dxa"/>
            <w:left w:w="108" w:type="dxa"/>
            <w:bottom w:w="0" w:type="dxa"/>
            <w:right w:w="108" w:type="dxa"/>
          </w:tblCellMar>
        </w:tblPrEx>
        <w:trPr>
          <w:trHeight w:val="30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173EF6C6">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4</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21E3F36F">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418DFD05">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园林道路绿地率 </w:t>
            </w:r>
          </w:p>
        </w:tc>
        <w:tc>
          <w:tcPr>
            <w:tcW w:w="920" w:type="pct"/>
            <w:tcBorders>
              <w:top w:val="single" w:color="000000" w:sz="4" w:space="0"/>
              <w:left w:val="single" w:color="000000" w:sz="4" w:space="0"/>
              <w:bottom w:val="single" w:color="000000" w:sz="4" w:space="0"/>
              <w:right w:val="single" w:color="000000" w:sz="4" w:space="0"/>
              <w:tl2br w:val="nil"/>
              <w:tr2bl w:val="nil"/>
            </w:tcBorders>
            <w:vAlign w:val="center"/>
          </w:tcPr>
          <w:p w14:paraId="60F31D7C">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≥40%</w:t>
            </w:r>
          </w:p>
        </w:tc>
        <w:tc>
          <w:tcPr>
            <w:tcW w:w="659" w:type="pct"/>
            <w:tcBorders>
              <w:top w:val="single" w:color="000000" w:sz="4" w:space="0"/>
              <w:left w:val="single" w:color="000000" w:sz="4" w:space="0"/>
              <w:bottom w:val="single" w:color="000000" w:sz="4" w:space="0"/>
              <w:right w:val="single" w:color="000000" w:sz="4" w:space="0"/>
              <w:tl2br w:val="nil"/>
              <w:tr2bl w:val="nil"/>
            </w:tcBorders>
          </w:tcPr>
          <w:p w14:paraId="6159BA27">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≥30% </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43C05F55">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鼓励性</w:t>
            </w:r>
          </w:p>
        </w:tc>
      </w:tr>
      <w:tr w14:paraId="36CCC2A8">
        <w:tblPrEx>
          <w:tblCellMar>
            <w:top w:w="0" w:type="dxa"/>
            <w:left w:w="108" w:type="dxa"/>
            <w:bottom w:w="0" w:type="dxa"/>
            <w:right w:w="108" w:type="dxa"/>
          </w:tblCellMar>
        </w:tblPrEx>
        <w:trPr>
          <w:trHeight w:val="30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5631A300">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5</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7BE701CD">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50669B98">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广场绿地率 </w:t>
            </w:r>
          </w:p>
        </w:tc>
        <w:tc>
          <w:tcPr>
            <w:tcW w:w="920" w:type="pct"/>
            <w:tcBorders>
              <w:top w:val="single" w:color="000000" w:sz="4" w:space="0"/>
              <w:left w:val="single" w:color="000000" w:sz="4" w:space="0"/>
              <w:bottom w:val="single" w:color="000000" w:sz="4" w:space="0"/>
              <w:right w:val="single" w:color="000000" w:sz="4" w:space="0"/>
              <w:tl2br w:val="nil"/>
              <w:tr2bl w:val="nil"/>
            </w:tcBorders>
            <w:vAlign w:val="center"/>
          </w:tcPr>
          <w:p w14:paraId="78D44666">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≥30%</w:t>
            </w:r>
          </w:p>
        </w:tc>
        <w:tc>
          <w:tcPr>
            <w:tcW w:w="659" w:type="pct"/>
            <w:tcBorders>
              <w:top w:val="single" w:color="000000" w:sz="4" w:space="0"/>
              <w:left w:val="single" w:color="000000" w:sz="4" w:space="0"/>
              <w:bottom w:val="single" w:color="000000" w:sz="4" w:space="0"/>
              <w:right w:val="single" w:color="000000" w:sz="4" w:space="0"/>
              <w:tl2br w:val="nil"/>
              <w:tr2bl w:val="nil"/>
            </w:tcBorders>
          </w:tcPr>
          <w:p w14:paraId="7374BDBD">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≥25% </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457B7B9E">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鼓励性</w:t>
            </w:r>
          </w:p>
        </w:tc>
      </w:tr>
      <w:tr w14:paraId="5BA4FE3B">
        <w:tblPrEx>
          <w:tblCellMar>
            <w:top w:w="0" w:type="dxa"/>
            <w:left w:w="108" w:type="dxa"/>
            <w:bottom w:w="0" w:type="dxa"/>
            <w:right w:w="108" w:type="dxa"/>
          </w:tblCellMar>
        </w:tblPrEx>
        <w:trPr>
          <w:trHeight w:val="124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29A4BCDF">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6</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5213B24F">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648BD32A">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lang w:eastAsia="zh-CN"/>
              </w:rPr>
            </w:pPr>
            <w:r>
              <w:rPr>
                <w:rFonts w:hint="eastAsia" w:ascii="宋体" w:hAnsi="宋体" w:cs="宋体"/>
                <w:color w:val="auto"/>
                <w:sz w:val="21"/>
                <w:szCs w:val="24"/>
                <w:highlight w:val="none"/>
                <w:lang w:eastAsia="zh-CN"/>
              </w:rPr>
              <w:t>人行道、自行车道、步行街、室外停车场透水铺装率</w:t>
            </w:r>
            <w:r>
              <w:rPr>
                <w:rFonts w:hint="eastAsia" w:ascii="宋体" w:hAnsi="宋体" w:cs="宋体"/>
                <w:color w:val="auto"/>
                <w:w w:val="95"/>
                <w:sz w:val="11"/>
                <w:szCs w:val="24"/>
                <w:highlight w:val="none"/>
                <w:lang w:eastAsia="zh-CN"/>
              </w:rPr>
              <w:t>（2）</w:t>
            </w:r>
          </w:p>
        </w:tc>
        <w:tc>
          <w:tcPr>
            <w:tcW w:w="920" w:type="pct"/>
            <w:tcBorders>
              <w:top w:val="single" w:color="000000" w:sz="4" w:space="0"/>
              <w:left w:val="single" w:color="000000" w:sz="4" w:space="0"/>
              <w:bottom w:val="single" w:color="000000" w:sz="4" w:space="0"/>
              <w:right w:val="single" w:color="000000" w:sz="4" w:space="0"/>
              <w:tl2br w:val="nil"/>
              <w:tr2bl w:val="nil"/>
            </w:tcBorders>
            <w:vAlign w:val="center"/>
          </w:tcPr>
          <w:p w14:paraId="74434BD1">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70%</w:t>
            </w:r>
          </w:p>
        </w:tc>
        <w:tc>
          <w:tcPr>
            <w:tcW w:w="659" w:type="pct"/>
            <w:tcBorders>
              <w:top w:val="single" w:color="000000" w:sz="4" w:space="0"/>
              <w:left w:val="single" w:color="000000" w:sz="4" w:space="0"/>
              <w:bottom w:val="single" w:color="000000" w:sz="4" w:space="0"/>
              <w:right w:val="single" w:color="000000" w:sz="4" w:space="0"/>
              <w:tl2br w:val="nil"/>
              <w:tr2bl w:val="nil"/>
            </w:tcBorders>
          </w:tcPr>
          <w:p w14:paraId="5871F62E">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≥50% </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458602EE">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分类指导</w:t>
            </w:r>
          </w:p>
        </w:tc>
      </w:tr>
      <w:tr w14:paraId="06CAC558">
        <w:tblPrEx>
          <w:tblCellMar>
            <w:top w:w="0" w:type="dxa"/>
            <w:left w:w="108" w:type="dxa"/>
            <w:bottom w:w="0" w:type="dxa"/>
            <w:right w:w="108" w:type="dxa"/>
          </w:tblCellMar>
        </w:tblPrEx>
        <w:trPr>
          <w:trHeight w:val="7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7F3FBBD8">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7</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28B4619B">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2FF4D6F8">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highlight w:val="none"/>
                <w:lang w:eastAsia="zh-CN"/>
              </w:rPr>
            </w:pPr>
            <w:r>
              <w:rPr>
                <w:rFonts w:hint="eastAsia" w:ascii="宋体" w:hAnsi="宋体" w:cs="宋体"/>
                <w:color w:val="auto"/>
                <w:sz w:val="21"/>
                <w:szCs w:val="24"/>
                <w:highlight w:val="none"/>
                <w:lang w:eastAsia="zh-CN"/>
              </w:rPr>
              <w:t>单位硬化面积调蓄容积</w:t>
            </w:r>
            <w:r>
              <w:rPr>
                <w:rFonts w:hint="eastAsia" w:ascii="宋体" w:hAnsi="宋体" w:cs="宋体"/>
                <w:color w:val="auto"/>
                <w:position w:val="12"/>
                <w:sz w:val="12"/>
                <w:szCs w:val="24"/>
                <w:highlight w:val="none"/>
                <w:lang w:eastAsia="zh-CN"/>
              </w:rPr>
              <w:t>（3）</w:t>
            </w:r>
          </w:p>
        </w:tc>
        <w:tc>
          <w:tcPr>
            <w:tcW w:w="920" w:type="pct"/>
            <w:tcBorders>
              <w:top w:val="single" w:color="000000" w:sz="4" w:space="0"/>
              <w:left w:val="single" w:color="000000" w:sz="4" w:space="0"/>
              <w:bottom w:val="single" w:color="000000" w:sz="4" w:space="0"/>
              <w:right w:val="single" w:color="000000" w:sz="4" w:space="0"/>
              <w:tl2br w:val="nil"/>
              <w:tr2bl w:val="nil"/>
            </w:tcBorders>
            <w:vAlign w:val="center"/>
          </w:tcPr>
          <w:p w14:paraId="0A645356">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≥500</w:t>
            </w:r>
            <w:r>
              <w:rPr>
                <w:rFonts w:hint="eastAsia" w:ascii="宋体" w:hAnsi="宋体" w:cs="宋体"/>
                <w:color w:val="auto"/>
                <w:sz w:val="24"/>
                <w:szCs w:val="24"/>
                <w:highlight w:val="none"/>
              </w:rPr>
              <w:t>m³</w:t>
            </w:r>
            <w:r>
              <w:rPr>
                <w:rFonts w:hint="eastAsia" w:ascii="宋体" w:hAnsi="宋体" w:cs="宋体"/>
                <w:color w:val="auto"/>
                <w:sz w:val="21"/>
                <w:szCs w:val="24"/>
                <w:highlight w:val="none"/>
              </w:rPr>
              <w:t>/ha</w:t>
            </w:r>
          </w:p>
        </w:tc>
        <w:tc>
          <w:tcPr>
            <w:tcW w:w="659" w:type="pct"/>
            <w:tcBorders>
              <w:top w:val="single" w:color="000000" w:sz="4" w:space="0"/>
              <w:left w:val="single" w:color="000000" w:sz="4" w:space="0"/>
              <w:bottom w:val="single" w:color="000000" w:sz="4" w:space="0"/>
              <w:right w:val="single" w:color="000000" w:sz="4" w:space="0"/>
              <w:tl2br w:val="nil"/>
              <w:tr2bl w:val="nil"/>
            </w:tcBorders>
            <w:vAlign w:val="center"/>
          </w:tcPr>
          <w:p w14:paraId="3C287D83">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1B9E8C4C">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分类指导</w:t>
            </w:r>
          </w:p>
        </w:tc>
      </w:tr>
      <w:tr w14:paraId="364407BE">
        <w:tblPrEx>
          <w:tblCellMar>
            <w:top w:w="0" w:type="dxa"/>
            <w:left w:w="108" w:type="dxa"/>
            <w:bottom w:w="0" w:type="dxa"/>
            <w:right w:w="108" w:type="dxa"/>
          </w:tblCellMar>
        </w:tblPrEx>
        <w:trPr>
          <w:trHeight w:val="30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6E761C83">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8</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1EC9D9E1">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04E90113">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广场可渗透地面率 </w:t>
            </w:r>
          </w:p>
        </w:tc>
        <w:tc>
          <w:tcPr>
            <w:tcW w:w="920" w:type="pct"/>
            <w:tcBorders>
              <w:top w:val="single" w:color="000000" w:sz="4" w:space="0"/>
              <w:left w:val="single" w:color="000000" w:sz="4" w:space="0"/>
              <w:bottom w:val="single" w:color="000000" w:sz="4" w:space="0"/>
              <w:right w:val="single" w:color="000000" w:sz="4" w:space="0"/>
              <w:tl2br w:val="nil"/>
              <w:tr2bl w:val="nil"/>
            </w:tcBorders>
            <w:vAlign w:val="center"/>
          </w:tcPr>
          <w:p w14:paraId="4D1182DB">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lang w:eastAsia="zh-CN"/>
              </w:rPr>
            </w:pPr>
            <w:r>
              <w:rPr>
                <w:rFonts w:hint="eastAsia" w:ascii="宋体" w:hAnsi="宋体" w:cs="宋体"/>
                <w:color w:val="auto"/>
                <w:sz w:val="21"/>
                <w:szCs w:val="24"/>
                <w:highlight w:val="none"/>
              </w:rPr>
              <w:t>≥40%</w:t>
            </w:r>
            <w:r>
              <w:rPr>
                <w:rFonts w:hint="eastAsia" w:ascii="宋体" w:hAnsi="宋体" w:cs="宋体"/>
                <w:color w:val="auto"/>
                <w:sz w:val="21"/>
                <w:szCs w:val="24"/>
                <w:highlight w:val="none"/>
                <w:lang w:eastAsia="zh-CN"/>
              </w:rPr>
              <w:t>（</w:t>
            </w:r>
            <w:r>
              <w:rPr>
                <w:rFonts w:hint="eastAsia" w:ascii="宋体" w:hAnsi="宋体" w:cs="宋体"/>
                <w:color w:val="auto"/>
                <w:sz w:val="21"/>
                <w:szCs w:val="24"/>
                <w:highlight w:val="none"/>
              </w:rPr>
              <w:t>除公园外</w:t>
            </w:r>
            <w:r>
              <w:rPr>
                <w:rFonts w:hint="eastAsia" w:ascii="宋体" w:hAnsi="宋体" w:cs="宋体"/>
                <w:color w:val="auto"/>
                <w:sz w:val="21"/>
                <w:szCs w:val="24"/>
                <w:highlight w:val="none"/>
                <w:lang w:eastAsia="zh-CN"/>
              </w:rPr>
              <w:t>）</w:t>
            </w:r>
          </w:p>
        </w:tc>
        <w:tc>
          <w:tcPr>
            <w:tcW w:w="659" w:type="pct"/>
            <w:tcBorders>
              <w:top w:val="single" w:color="000000" w:sz="4" w:space="0"/>
              <w:left w:val="single" w:color="000000" w:sz="4" w:space="0"/>
              <w:bottom w:val="single" w:color="000000" w:sz="4" w:space="0"/>
              <w:right w:val="single" w:color="000000" w:sz="4" w:space="0"/>
              <w:tl2br w:val="nil"/>
              <w:tr2bl w:val="nil"/>
            </w:tcBorders>
          </w:tcPr>
          <w:p w14:paraId="57CDA6A8">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67CFFD39">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约束性</w:t>
            </w:r>
          </w:p>
        </w:tc>
      </w:tr>
      <w:tr w14:paraId="3186477F">
        <w:tblPrEx>
          <w:tblCellMar>
            <w:top w:w="0" w:type="dxa"/>
            <w:left w:w="108" w:type="dxa"/>
            <w:bottom w:w="0" w:type="dxa"/>
            <w:right w:w="108" w:type="dxa"/>
          </w:tblCellMar>
        </w:tblPrEx>
        <w:trPr>
          <w:trHeight w:val="300" w:hRule="atLeast"/>
          <w:jc w:val="center"/>
        </w:trPr>
        <w:tc>
          <w:tcPr>
            <w:tcW w:w="511" w:type="pct"/>
            <w:tcBorders>
              <w:top w:val="single" w:color="000000" w:sz="4" w:space="0"/>
              <w:left w:val="single" w:color="000000" w:sz="4" w:space="0"/>
              <w:bottom w:val="single" w:color="000000" w:sz="4" w:space="0"/>
              <w:right w:val="single" w:color="000000" w:sz="4" w:space="0"/>
              <w:tl2br w:val="nil"/>
              <w:tr2bl w:val="nil"/>
            </w:tcBorders>
            <w:vAlign w:val="center"/>
          </w:tcPr>
          <w:p w14:paraId="605FF611">
            <w:pPr>
              <w:keepNext w:val="0"/>
              <w:keepLines w:val="0"/>
              <w:pageBreakBefore w:val="0"/>
              <w:widowControl/>
              <w:suppressLineNumbers w:val="0"/>
              <w:wordWrap/>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color w:val="auto"/>
                <w:sz w:val="18"/>
                <w:szCs w:val="18"/>
                <w:highlight w:val="none"/>
              </w:rPr>
            </w:pPr>
            <w:r>
              <w:rPr>
                <w:rFonts w:hint="eastAsia" w:ascii="宋体" w:hAnsi="宋体" w:cs="宋体"/>
                <w:color w:val="auto"/>
                <w:sz w:val="18"/>
                <w:szCs w:val="18"/>
                <w:highlight w:val="none"/>
              </w:rPr>
              <w:t>9</w:t>
            </w:r>
          </w:p>
        </w:tc>
        <w:tc>
          <w:tcPr>
            <w:tcW w:w="893" w:type="pct"/>
            <w:tcBorders>
              <w:top w:val="single" w:color="000000" w:sz="4" w:space="0"/>
              <w:left w:val="single" w:color="000000" w:sz="4" w:space="0"/>
              <w:bottom w:val="single" w:color="000000" w:sz="4" w:space="0"/>
              <w:right w:val="single" w:color="000000" w:sz="4" w:space="0"/>
              <w:tl2br w:val="nil"/>
              <w:tr2bl w:val="nil"/>
            </w:tcBorders>
          </w:tcPr>
          <w:p w14:paraId="2A93D991">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1250" w:type="pct"/>
            <w:tcBorders>
              <w:top w:val="single" w:color="000000" w:sz="4" w:space="0"/>
              <w:left w:val="single" w:color="000000" w:sz="4" w:space="0"/>
              <w:bottom w:val="single" w:color="000000" w:sz="4" w:space="0"/>
              <w:right w:val="single" w:color="000000" w:sz="4" w:space="0"/>
              <w:tl2br w:val="nil"/>
              <w:tr2bl w:val="nil"/>
            </w:tcBorders>
            <w:vAlign w:val="center"/>
          </w:tcPr>
          <w:p w14:paraId="683FE5BC">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下沉绿地率</w:t>
            </w:r>
            <w:r>
              <w:rPr>
                <w:rFonts w:hint="eastAsia" w:ascii="宋体" w:hAnsi="宋体" w:cs="宋体"/>
                <w:color w:val="auto"/>
                <w:position w:val="11"/>
                <w:sz w:val="11"/>
                <w:szCs w:val="24"/>
                <w:highlight w:val="none"/>
              </w:rPr>
              <w:t>（4）</w:t>
            </w:r>
            <w:r>
              <w:rPr>
                <w:rFonts w:hint="eastAsia" w:ascii="宋体" w:hAnsi="宋体" w:cs="宋体"/>
                <w:color w:val="auto"/>
                <w:sz w:val="21"/>
                <w:szCs w:val="24"/>
                <w:highlight w:val="none"/>
              </w:rPr>
              <w:t xml:space="preserve"> </w:t>
            </w:r>
          </w:p>
        </w:tc>
        <w:tc>
          <w:tcPr>
            <w:tcW w:w="920" w:type="pct"/>
            <w:tcBorders>
              <w:top w:val="single" w:color="000000" w:sz="4" w:space="0"/>
              <w:left w:val="single" w:color="000000" w:sz="4" w:space="0"/>
              <w:bottom w:val="single" w:color="000000" w:sz="4" w:space="0"/>
              <w:right w:val="single" w:color="000000" w:sz="4" w:space="0"/>
              <w:tl2br w:val="nil"/>
              <w:tr2bl w:val="nil"/>
            </w:tcBorders>
            <w:vAlign w:val="center"/>
          </w:tcPr>
          <w:p w14:paraId="0563B0C0">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lang w:eastAsia="zh-CN"/>
              </w:rPr>
            </w:pPr>
            <w:r>
              <w:rPr>
                <w:rFonts w:hint="eastAsia" w:ascii="宋体" w:hAnsi="宋体" w:cs="宋体"/>
                <w:color w:val="auto"/>
                <w:sz w:val="21"/>
                <w:szCs w:val="24"/>
                <w:highlight w:val="none"/>
              </w:rPr>
              <w:t>≥50%</w:t>
            </w:r>
            <w:r>
              <w:rPr>
                <w:rFonts w:hint="eastAsia" w:ascii="宋体" w:hAnsi="宋体" w:cs="宋体"/>
                <w:color w:val="auto"/>
                <w:sz w:val="21"/>
                <w:szCs w:val="24"/>
                <w:highlight w:val="none"/>
                <w:lang w:eastAsia="zh-CN"/>
              </w:rPr>
              <w:t>（</w:t>
            </w:r>
            <w:r>
              <w:rPr>
                <w:rFonts w:hint="eastAsia" w:ascii="宋体" w:hAnsi="宋体" w:cs="宋体"/>
                <w:color w:val="auto"/>
                <w:sz w:val="21"/>
                <w:szCs w:val="24"/>
                <w:highlight w:val="none"/>
              </w:rPr>
              <w:t>除公园外</w:t>
            </w:r>
            <w:r>
              <w:rPr>
                <w:rFonts w:hint="eastAsia" w:ascii="宋体" w:hAnsi="宋体" w:cs="宋体"/>
                <w:color w:val="auto"/>
                <w:sz w:val="21"/>
                <w:szCs w:val="24"/>
                <w:highlight w:val="none"/>
                <w:lang w:eastAsia="zh-CN"/>
              </w:rPr>
              <w:t>）</w:t>
            </w:r>
          </w:p>
        </w:tc>
        <w:tc>
          <w:tcPr>
            <w:tcW w:w="659" w:type="pct"/>
            <w:tcBorders>
              <w:top w:val="single" w:color="000000" w:sz="4" w:space="0"/>
              <w:left w:val="single" w:color="000000" w:sz="4" w:space="0"/>
              <w:bottom w:val="single" w:color="000000" w:sz="4" w:space="0"/>
              <w:right w:val="single" w:color="000000" w:sz="4" w:space="0"/>
              <w:tl2br w:val="nil"/>
              <w:tr2bl w:val="nil"/>
            </w:tcBorders>
          </w:tcPr>
          <w:p w14:paraId="4B24E67C">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 xml:space="preserve"> </w:t>
            </w:r>
          </w:p>
        </w:tc>
        <w:tc>
          <w:tcPr>
            <w:tcW w:w="763" w:type="pct"/>
            <w:tcBorders>
              <w:top w:val="single" w:color="000000" w:sz="4" w:space="0"/>
              <w:left w:val="single" w:color="000000" w:sz="4" w:space="0"/>
              <w:bottom w:val="single" w:color="000000" w:sz="4" w:space="0"/>
              <w:right w:val="single" w:color="000000" w:sz="4" w:space="0"/>
              <w:tl2br w:val="nil"/>
              <w:tr2bl w:val="nil"/>
            </w:tcBorders>
            <w:vAlign w:val="center"/>
          </w:tcPr>
          <w:p w14:paraId="48BA95E9">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0" w:firstLineChars="0"/>
              <w:jc w:val="both"/>
              <w:textAlignment w:val="auto"/>
              <w:rPr>
                <w:rFonts w:hint="default" w:ascii="宋体" w:hAnsi="宋体" w:cs="宋体"/>
                <w:color w:val="auto"/>
                <w:sz w:val="21"/>
                <w:highlight w:val="none"/>
              </w:rPr>
            </w:pPr>
            <w:r>
              <w:rPr>
                <w:rFonts w:hint="eastAsia" w:ascii="宋体" w:hAnsi="宋体" w:cs="宋体"/>
                <w:color w:val="auto"/>
                <w:sz w:val="21"/>
                <w:szCs w:val="24"/>
                <w:highlight w:val="none"/>
              </w:rPr>
              <w:t>分类指导</w:t>
            </w:r>
          </w:p>
        </w:tc>
      </w:tr>
    </w:tbl>
    <w:p w14:paraId="50CBD79D">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 xml:space="preserve">注： </w:t>
      </w:r>
    </w:p>
    <w:p w14:paraId="6B932866">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 xml:space="preserve">（1）道路工程中，年径流总量控制率为鼓励性指标；广场类项目中为约束性指标。 </w:t>
      </w:r>
    </w:p>
    <w:p w14:paraId="21668422">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（2）若工程所在区域内有正式印发的相关铺装标准或指引要求的，透水铺装率可作为鼓励性指标。</w:t>
      </w:r>
    </w:p>
    <w:p w14:paraId="07B7D1E4">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 xml:space="preserve">（3）道路工程中，该项指标为鼓励性指标；广场类项目中为约束性指标。 </w:t>
      </w:r>
    </w:p>
    <w:p w14:paraId="51826D32">
      <w:pPr>
        <w:adjustRightInd w:val="0"/>
        <w:spacing w:line="360" w:lineRule="auto"/>
        <w:ind w:firstLine="480" w:firstLineChars="200"/>
        <w:jc w:val="both"/>
        <w:rPr>
          <w:rFonts w:hint="eastAsia" w:ascii="宋体" w:hAnsi="宋体"/>
          <w:color w:val="auto"/>
          <w:highlight w:val="none"/>
          <w:lang w:eastAsia="zh-CN"/>
        </w:rPr>
      </w:pPr>
      <w:r>
        <w:rPr>
          <w:rFonts w:hint="eastAsia" w:ascii="宋体" w:hAnsi="宋体"/>
          <w:color w:val="auto"/>
          <w:highlight w:val="none"/>
          <w:lang w:eastAsia="zh-CN"/>
        </w:rPr>
        <w:t>（4）道路工程中，侧绿化带宽度不小于 2m 的道路该项指标为约束性指标，小于 2m 的道路该指标为鼓励性指标；广场类项目中为约束性指标。</w:t>
      </w:r>
    </w:p>
    <w:p w14:paraId="3ED8CA21">
      <w:pPr>
        <w:pStyle w:val="38"/>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sz w:val="24"/>
          <w:highlight w:val="none"/>
          <w:lang w:val="en-US" w:eastAsia="zh-CN"/>
        </w:rPr>
      </w:pPr>
      <w:r>
        <w:rPr>
          <w:rFonts w:hint="eastAsia"/>
          <w:bCs/>
          <w:color w:val="auto"/>
          <w:highlight w:val="none"/>
          <w:lang w:val="en-US" w:eastAsia="zh-CN"/>
        </w:rPr>
        <w:t>2、根据</w:t>
      </w:r>
      <w:r>
        <w:rPr>
          <w:rFonts w:hint="eastAsia" w:ascii="宋体" w:hAnsi="宋体"/>
          <w:sz w:val="24"/>
          <w:highlight w:val="none"/>
          <w:lang w:val="en-US" w:eastAsia="zh-CN"/>
        </w:rPr>
        <w:t>《花都区海绵城市专项规划》，本项目位于10-01排水分区(高溪河分区)管控分区，该分区的规划年径流污染削减率（以TSS计）为50%（约束性指标），规划年径流总量控制率为69%（鼓励性指标）。</w:t>
      </w:r>
    </w:p>
    <w:p w14:paraId="6C89DCB9">
      <w:pPr>
        <w:pStyle w:val="28"/>
        <w:numPr>
          <w:ilvl w:val="0"/>
          <w:numId w:val="0"/>
        </w:numPr>
        <w:snapToGrid w:val="0"/>
        <w:rPr>
          <w:rFonts w:hint="default" w:ascii="宋体" w:hAnsi="宋体"/>
          <w:sz w:val="24"/>
          <w:highlight w:val="none"/>
          <w:lang w:val="en-US" w:eastAsia="zh-CN"/>
        </w:rPr>
      </w:pPr>
      <w:r>
        <w:rPr>
          <w:rFonts w:hint="default" w:ascii="宋体" w:hAnsi="宋体"/>
          <w:sz w:val="24"/>
          <w:highlight w:val="none"/>
          <w:lang w:val="en-US" w:eastAsia="zh-CN"/>
        </w:rPr>
        <w:drawing>
          <wp:inline distT="0" distB="0" distL="114300" distR="114300">
            <wp:extent cx="6460490" cy="3154045"/>
            <wp:effectExtent l="0" t="0" r="0" b="0"/>
            <wp:docPr id="4" name="图片 4" descr="27e5cdc1133b5ab3d90ac656b375f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7e5cdc1133b5ab3d90ac656b375f68"/>
                    <pic:cNvPicPr>
                      <a:picLocks noChangeAspect="1"/>
                    </pic:cNvPicPr>
                  </pic:nvPicPr>
                  <pic:blipFill>
                    <a:blip r:embed="rId10"/>
                    <a:srcRect l="810" t="1213" r="-59"/>
                    <a:stretch>
                      <a:fillRect/>
                    </a:stretch>
                  </pic:blipFill>
                  <pic:spPr>
                    <a:xfrm>
                      <a:off x="0" y="0"/>
                      <a:ext cx="6460490" cy="3154045"/>
                    </a:xfrm>
                    <a:prstGeom prst="rect">
                      <a:avLst/>
                    </a:prstGeom>
                  </pic:spPr>
                </pic:pic>
              </a:graphicData>
            </a:graphic>
          </wp:inline>
        </w:drawing>
      </w:r>
    </w:p>
    <w:p w14:paraId="1D1023F1">
      <w:pPr>
        <w:pStyle w:val="3"/>
        <w:bidi w:val="0"/>
        <w:rPr>
          <w:color w:val="auto"/>
          <w:highlight w:val="none"/>
          <w:lang w:eastAsia="zh-CN"/>
        </w:rPr>
      </w:pPr>
      <w:r>
        <w:rPr>
          <w:rFonts w:hint="eastAsia"/>
          <w:color w:val="auto"/>
          <w:highlight w:val="none"/>
          <w:lang w:eastAsia="zh-CN"/>
        </w:rPr>
        <w:t>方案设计</w:t>
      </w:r>
    </w:p>
    <w:p w14:paraId="787424C6">
      <w:pPr>
        <w:adjustRightInd w:val="0"/>
        <w:spacing w:line="360" w:lineRule="auto"/>
        <w:ind w:firstLine="480" w:firstLineChars="200"/>
        <w:jc w:val="both"/>
        <w:rPr>
          <w:rFonts w:hint="eastAsia" w:ascii="宋体" w:hAnsi="宋体"/>
          <w:color w:val="auto"/>
          <w:highlight w:val="none"/>
          <w:u w:val="single"/>
          <w:lang w:eastAsia="zh-CN"/>
        </w:rPr>
      </w:pPr>
      <w:r>
        <w:rPr>
          <w:rFonts w:hint="eastAsia"/>
          <w:color w:val="auto"/>
          <w:highlight w:val="none"/>
          <w:u w:val="single"/>
          <w:lang w:eastAsia="zh-CN"/>
        </w:rPr>
        <w:t>考虑永安东路二期工程与一期工程构成永安东路整个路段的整体，因此一期和二期同出一套海绵城市专篇，下垫面面积、海绵设施等一并统筹考虑。</w:t>
      </w:r>
    </w:p>
    <w:p w14:paraId="21602B5C">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结合本项目的活动功能布局，海绵城市设计结合景观设计，合理布局各类海绵设施，项目内海绵城市透水铺装、下沉式绿地、渗管、渗井等，主要体现在道路专业，水专业以及绿化专业图纸上。</w:t>
      </w:r>
    </w:p>
    <w:p w14:paraId="7C4BE033">
      <w:pPr>
        <w:adjustRightInd w:val="0"/>
        <w:spacing w:line="360" w:lineRule="auto"/>
        <w:ind w:firstLine="480" w:firstLineChars="200"/>
        <w:jc w:val="both"/>
        <w:rPr>
          <w:rFonts w:hint="eastAsia" w:ascii="宋体" w:hAnsi="宋体"/>
          <w:color w:val="auto"/>
          <w:highlight w:val="none"/>
          <w:lang w:eastAsia="zh-CN"/>
        </w:rPr>
      </w:pPr>
      <w:r>
        <w:rPr>
          <w:rFonts w:hint="eastAsia" w:ascii="宋体" w:hAnsi="宋体"/>
          <w:color w:val="auto"/>
          <w:highlight w:val="none"/>
          <w:lang w:eastAsia="zh-CN"/>
        </w:rPr>
        <w:t>绿化区域较分散设置了下沉式绿地，非渗透地面的雨水可地表径流排至就近的下沉式绿地内储存，多余雨水由旁边的雨水口溢流排入湖中或市政管网。</w:t>
      </w:r>
    </w:p>
    <w:p w14:paraId="36935D64">
      <w:pPr>
        <w:adjustRightInd w:val="0"/>
        <w:spacing w:line="360" w:lineRule="auto"/>
        <w:ind w:firstLine="480" w:firstLineChars="200"/>
        <w:jc w:val="both"/>
        <w:rPr>
          <w:rFonts w:hint="eastAsia" w:ascii="宋体" w:hAnsi="宋体"/>
          <w:color w:val="auto"/>
          <w:highlight w:val="none"/>
          <w:lang w:eastAsia="zh-CN"/>
        </w:rPr>
      </w:pPr>
      <w:r>
        <w:rPr>
          <w:rFonts w:hint="eastAsia" w:ascii="宋体" w:hAnsi="宋体"/>
          <w:color w:val="auto"/>
          <w:highlight w:val="none"/>
          <w:lang w:eastAsia="zh-CN"/>
        </w:rPr>
        <w:t>园区内渗透铺装可直接下渗大部分雨水，多余雨水地表径流排入雨水口，再排入湖中或市政雨水管网。</w:t>
      </w:r>
    </w:p>
    <w:p w14:paraId="7989F319">
      <w:pPr>
        <w:pStyle w:val="7"/>
        <w:ind w:firstLine="360"/>
        <w:jc w:val="center"/>
        <w:rPr>
          <w:rFonts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各类用地中低影响开发设施在本项目实施一览表</w:t>
      </w:r>
    </w:p>
    <w:tbl>
      <w:tblPr>
        <w:tblStyle w:val="17"/>
        <w:tblW w:w="9014" w:type="dxa"/>
        <w:jc w:val="center"/>
        <w:tblLayout w:type="fixed"/>
        <w:tblCellMar>
          <w:top w:w="0" w:type="dxa"/>
          <w:left w:w="0" w:type="dxa"/>
          <w:bottom w:w="0" w:type="dxa"/>
          <w:right w:w="0" w:type="dxa"/>
        </w:tblCellMar>
      </w:tblPr>
      <w:tblGrid>
        <w:gridCol w:w="2183"/>
        <w:gridCol w:w="3062"/>
        <w:gridCol w:w="3769"/>
      </w:tblGrid>
      <w:tr w14:paraId="6CBE1ACC">
        <w:tblPrEx>
          <w:tblCellMar>
            <w:top w:w="0" w:type="dxa"/>
            <w:left w:w="0" w:type="dxa"/>
            <w:bottom w:w="0" w:type="dxa"/>
            <w:right w:w="0" w:type="dxa"/>
          </w:tblCellMar>
        </w:tblPrEx>
        <w:trPr>
          <w:trHeight w:val="94" w:hRule="exact"/>
          <w:tblHeader/>
          <w:jc w:val="center"/>
        </w:trPr>
        <w:tc>
          <w:tcPr>
            <w:tcW w:w="2183" w:type="dxa"/>
            <w:vMerge w:val="restart"/>
            <w:tcBorders>
              <w:top w:val="single" w:color="000000" w:sz="8" w:space="0"/>
              <w:left w:val="single" w:color="000000" w:sz="8" w:space="0"/>
              <w:right w:val="single" w:color="000000" w:sz="2" w:space="0"/>
            </w:tcBorders>
            <w:vAlign w:val="center"/>
          </w:tcPr>
          <w:p w14:paraId="01A7CA28">
            <w:pPr>
              <w:pStyle w:val="38"/>
              <w:keepNext w:val="0"/>
              <w:keepLines w:val="0"/>
              <w:suppressLineNumbers w:val="0"/>
              <w:spacing w:before="12" w:beforeAutospacing="0" w:after="0" w:afterAutospacing="0"/>
              <w:ind w:left="0" w:right="0" w:firstLine="482"/>
              <w:jc w:val="both"/>
              <w:rPr>
                <w:rFonts w:hint="default" w:ascii="宋体" w:hAnsi="宋体" w:cs="宋体"/>
                <w:b/>
                <w:bCs/>
                <w:color w:val="auto"/>
                <w:sz w:val="21"/>
                <w:szCs w:val="21"/>
                <w:highlight w:val="none"/>
                <w:lang w:eastAsia="zh-CN"/>
              </w:rPr>
            </w:pPr>
          </w:p>
          <w:p w14:paraId="4AC12EF1">
            <w:pPr>
              <w:pStyle w:val="38"/>
              <w:keepNext w:val="0"/>
              <w:keepLines w:val="0"/>
              <w:suppressLineNumbers w:val="0"/>
              <w:spacing w:before="0" w:beforeAutospacing="0" w:after="0" w:afterAutospacing="0"/>
              <w:ind w:left="0" w:right="0" w:firstLine="482"/>
              <w:jc w:val="both"/>
              <w:rPr>
                <w:rFonts w:hint="default" w:ascii="宋体" w:hAnsi="宋体" w:cs="宋体"/>
                <w:b/>
                <w:color w:val="auto"/>
                <w:sz w:val="21"/>
                <w:szCs w:val="21"/>
                <w:highlight w:val="none"/>
                <w:lang w:eastAsia="zh-CN"/>
              </w:rPr>
            </w:pPr>
            <w:r>
              <w:rPr>
                <w:rFonts w:hint="eastAsia" w:ascii="宋体" w:hAnsi="宋体" w:cs="宋体"/>
                <w:b/>
                <w:color w:val="auto"/>
                <w:sz w:val="21"/>
                <w:szCs w:val="21"/>
                <w:highlight w:val="none"/>
                <w:lang w:eastAsia="zh-CN"/>
              </w:rPr>
              <w:t>技术类型</w:t>
            </w:r>
          </w:p>
          <w:p w14:paraId="58549E86">
            <w:pPr>
              <w:pStyle w:val="38"/>
              <w:keepNext w:val="0"/>
              <w:keepLines w:val="0"/>
              <w:suppressLineNumbers w:val="0"/>
              <w:spacing w:before="76" w:beforeAutospacing="0" w:after="0" w:afterAutospacing="0"/>
              <w:ind w:left="0" w:right="0" w:firstLine="482"/>
              <w:jc w:val="both"/>
              <w:rPr>
                <w:rFonts w:hint="default" w:ascii="宋体" w:hAnsi="宋体" w:cs="宋体"/>
                <w:b/>
                <w:color w:val="auto"/>
                <w:sz w:val="21"/>
                <w:szCs w:val="21"/>
                <w:highlight w:val="none"/>
                <w:lang w:eastAsia="zh-CN"/>
              </w:rPr>
            </w:pPr>
            <w:r>
              <w:rPr>
                <w:rFonts w:hint="eastAsia" w:ascii="宋体" w:hAnsi="宋体" w:cs="宋体"/>
                <w:b/>
                <w:color w:val="auto"/>
                <w:sz w:val="21"/>
                <w:szCs w:val="21"/>
                <w:highlight w:val="none"/>
                <w:lang w:eastAsia="zh-CN"/>
              </w:rPr>
              <w:t>（按主要功能）</w:t>
            </w:r>
          </w:p>
        </w:tc>
        <w:tc>
          <w:tcPr>
            <w:tcW w:w="3062" w:type="dxa"/>
            <w:vMerge w:val="restart"/>
            <w:tcBorders>
              <w:top w:val="single" w:color="auto" w:sz="4" w:space="0"/>
              <w:left w:val="single" w:color="000000" w:sz="2" w:space="0"/>
              <w:right w:val="single" w:color="000000" w:sz="2" w:space="0"/>
            </w:tcBorders>
            <w:vAlign w:val="center"/>
          </w:tcPr>
          <w:p w14:paraId="5294728E">
            <w:pPr>
              <w:pStyle w:val="38"/>
              <w:keepNext w:val="0"/>
              <w:keepLines w:val="0"/>
              <w:suppressLineNumbers w:val="0"/>
              <w:spacing w:before="0" w:beforeAutospacing="0" w:after="0" w:afterAutospacing="0"/>
              <w:ind w:left="0" w:right="0" w:firstLine="482"/>
              <w:jc w:val="both"/>
              <w:rPr>
                <w:rFonts w:hint="default" w:ascii="宋体" w:hAnsi="宋体" w:cs="宋体"/>
                <w:b/>
                <w:color w:val="auto"/>
                <w:sz w:val="21"/>
                <w:szCs w:val="21"/>
                <w:highlight w:val="none"/>
              </w:rPr>
            </w:pPr>
            <w:r>
              <w:rPr>
                <w:rFonts w:hint="eastAsia" w:ascii="宋体" w:hAnsi="宋体" w:cs="宋体"/>
                <w:b/>
                <w:color w:val="auto"/>
                <w:sz w:val="21"/>
                <w:szCs w:val="21"/>
                <w:highlight w:val="none"/>
              </w:rPr>
              <w:t>单项设施</w:t>
            </w:r>
          </w:p>
        </w:tc>
        <w:tc>
          <w:tcPr>
            <w:tcW w:w="3769" w:type="dxa"/>
            <w:tcBorders>
              <w:top w:val="single" w:color="auto" w:sz="4" w:space="0"/>
              <w:left w:val="single" w:color="000000" w:sz="2" w:space="0"/>
              <w:right w:val="single" w:color="000000" w:sz="2" w:space="0"/>
            </w:tcBorders>
            <w:vAlign w:val="center"/>
          </w:tcPr>
          <w:p w14:paraId="11BB6F7A">
            <w:pPr>
              <w:pStyle w:val="38"/>
              <w:keepNext w:val="0"/>
              <w:keepLines w:val="0"/>
              <w:suppressLineNumbers w:val="0"/>
              <w:spacing w:before="13" w:beforeAutospacing="0" w:after="0" w:afterAutospacing="0"/>
              <w:ind w:left="0" w:right="0" w:firstLine="482"/>
              <w:jc w:val="both"/>
              <w:rPr>
                <w:rFonts w:hint="default" w:ascii="宋体" w:hAnsi="宋体" w:cs="宋体"/>
                <w:b/>
                <w:bCs/>
                <w:color w:val="auto"/>
                <w:sz w:val="21"/>
                <w:szCs w:val="21"/>
                <w:highlight w:val="none"/>
                <w:lang w:eastAsia="zh-CN"/>
              </w:rPr>
            </w:pPr>
          </w:p>
        </w:tc>
      </w:tr>
      <w:tr w14:paraId="223FFC0E">
        <w:tblPrEx>
          <w:tblCellMar>
            <w:top w:w="0" w:type="dxa"/>
            <w:left w:w="0" w:type="dxa"/>
            <w:bottom w:w="0" w:type="dxa"/>
            <w:right w:w="0" w:type="dxa"/>
          </w:tblCellMar>
        </w:tblPrEx>
        <w:trPr>
          <w:trHeight w:val="312" w:hRule="atLeast"/>
          <w:tblHeader/>
          <w:jc w:val="center"/>
        </w:trPr>
        <w:tc>
          <w:tcPr>
            <w:tcW w:w="2183" w:type="dxa"/>
            <w:vMerge w:val="continue"/>
            <w:tcBorders>
              <w:left w:val="single" w:color="000000" w:sz="8" w:space="0"/>
              <w:bottom w:val="single" w:color="000000" w:sz="2" w:space="0"/>
              <w:right w:val="single" w:color="000000" w:sz="2" w:space="0"/>
            </w:tcBorders>
            <w:vAlign w:val="center"/>
          </w:tcPr>
          <w:p w14:paraId="381F74FC">
            <w:pPr>
              <w:keepNext w:val="0"/>
              <w:keepLines w:val="0"/>
              <w:widowControl/>
              <w:suppressLineNumbers w:val="0"/>
              <w:spacing w:before="0" w:beforeAutospacing="0" w:after="0" w:afterAutospacing="0"/>
              <w:ind w:left="0" w:right="0" w:firstLine="422"/>
              <w:jc w:val="both"/>
              <w:rPr>
                <w:rFonts w:hint="default" w:ascii="宋体" w:hAnsi="宋体" w:cs="宋体"/>
                <w:b/>
                <w:color w:val="auto"/>
                <w:sz w:val="21"/>
                <w:szCs w:val="21"/>
                <w:highlight w:val="none"/>
              </w:rPr>
            </w:pPr>
          </w:p>
        </w:tc>
        <w:tc>
          <w:tcPr>
            <w:tcW w:w="3062" w:type="dxa"/>
            <w:vMerge w:val="continue"/>
            <w:tcBorders>
              <w:left w:val="single" w:color="000000" w:sz="2" w:space="0"/>
              <w:bottom w:val="single" w:color="000000" w:sz="2" w:space="0"/>
              <w:right w:val="single" w:color="000000" w:sz="2" w:space="0"/>
            </w:tcBorders>
            <w:vAlign w:val="center"/>
          </w:tcPr>
          <w:p w14:paraId="2823C6F8">
            <w:pPr>
              <w:keepNext w:val="0"/>
              <w:keepLines w:val="0"/>
              <w:widowControl/>
              <w:suppressLineNumbers w:val="0"/>
              <w:spacing w:before="0" w:beforeAutospacing="0" w:after="0" w:afterAutospacing="0"/>
              <w:ind w:left="0" w:right="0" w:firstLine="422"/>
              <w:jc w:val="both"/>
              <w:rPr>
                <w:rFonts w:hint="default" w:ascii="宋体" w:hAnsi="宋体" w:cs="宋体"/>
                <w:b/>
                <w:color w:val="auto"/>
                <w:sz w:val="21"/>
                <w:szCs w:val="21"/>
                <w:highlight w:val="none"/>
              </w:rPr>
            </w:pPr>
          </w:p>
        </w:tc>
        <w:tc>
          <w:tcPr>
            <w:tcW w:w="3769" w:type="dxa"/>
            <w:tcBorders>
              <w:left w:val="single" w:color="000000" w:sz="2" w:space="0"/>
              <w:bottom w:val="single" w:color="000000" w:sz="2" w:space="0"/>
              <w:right w:val="single" w:color="000000" w:sz="2" w:space="0"/>
            </w:tcBorders>
            <w:vAlign w:val="center"/>
          </w:tcPr>
          <w:p w14:paraId="69AD0343">
            <w:pPr>
              <w:pStyle w:val="38"/>
              <w:keepNext w:val="0"/>
              <w:keepLines w:val="0"/>
              <w:suppressLineNumbers w:val="0"/>
              <w:spacing w:before="0" w:beforeAutospacing="0" w:after="0" w:afterAutospacing="0"/>
              <w:ind w:left="0" w:right="0" w:firstLine="482"/>
              <w:jc w:val="both"/>
              <w:rPr>
                <w:rFonts w:hint="default" w:ascii="宋体" w:hAnsi="宋体" w:cs="宋体"/>
                <w:b/>
                <w:color w:val="auto"/>
                <w:sz w:val="21"/>
                <w:szCs w:val="21"/>
                <w:highlight w:val="none"/>
              </w:rPr>
            </w:pPr>
            <w:r>
              <w:rPr>
                <w:rFonts w:hint="eastAsia" w:ascii="宋体" w:hAnsi="宋体" w:cs="宋体"/>
                <w:b/>
                <w:color w:val="auto"/>
                <w:sz w:val="21"/>
                <w:szCs w:val="21"/>
                <w:highlight w:val="none"/>
              </w:rPr>
              <w:t>本项目实施情况</w:t>
            </w:r>
          </w:p>
        </w:tc>
      </w:tr>
      <w:tr w14:paraId="65E7AEED">
        <w:tblPrEx>
          <w:tblCellMar>
            <w:top w:w="0" w:type="dxa"/>
            <w:left w:w="0" w:type="dxa"/>
            <w:bottom w:w="0" w:type="dxa"/>
            <w:right w:w="0" w:type="dxa"/>
          </w:tblCellMar>
        </w:tblPrEx>
        <w:trPr>
          <w:trHeight w:val="397" w:hRule="exact"/>
          <w:jc w:val="center"/>
        </w:trPr>
        <w:tc>
          <w:tcPr>
            <w:tcW w:w="2183" w:type="dxa"/>
            <w:vMerge w:val="restart"/>
            <w:tcBorders>
              <w:top w:val="single" w:color="000000" w:sz="2" w:space="0"/>
              <w:left w:val="single" w:color="000000" w:sz="8" w:space="0"/>
              <w:right w:val="single" w:color="000000" w:sz="2" w:space="0"/>
            </w:tcBorders>
            <w:vAlign w:val="center"/>
          </w:tcPr>
          <w:p w14:paraId="5230E588">
            <w:pPr>
              <w:pStyle w:val="38"/>
              <w:keepNext w:val="0"/>
              <w:keepLines w:val="0"/>
              <w:suppressLineNumbers w:val="0"/>
              <w:spacing w:before="0"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渗透技术</w:t>
            </w:r>
          </w:p>
        </w:tc>
        <w:tc>
          <w:tcPr>
            <w:tcW w:w="3062" w:type="dxa"/>
            <w:tcBorders>
              <w:top w:val="single" w:color="000000" w:sz="2" w:space="0"/>
              <w:left w:val="single" w:color="000000" w:sz="2" w:space="0"/>
              <w:bottom w:val="single" w:color="000000" w:sz="2" w:space="0"/>
              <w:right w:val="single" w:color="000000" w:sz="2" w:space="0"/>
            </w:tcBorders>
            <w:vAlign w:val="center"/>
          </w:tcPr>
          <w:p w14:paraId="3EC18782">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透水砖铺装</w:t>
            </w:r>
          </w:p>
        </w:tc>
        <w:tc>
          <w:tcPr>
            <w:tcW w:w="3769" w:type="dxa"/>
            <w:tcBorders>
              <w:top w:val="single" w:color="000000" w:sz="2" w:space="0"/>
              <w:left w:val="single" w:color="000000" w:sz="2" w:space="0"/>
              <w:bottom w:val="single" w:color="000000" w:sz="2" w:space="0"/>
              <w:right w:val="single" w:color="000000" w:sz="2" w:space="0"/>
            </w:tcBorders>
            <w:vAlign w:val="center"/>
          </w:tcPr>
          <w:p w14:paraId="04F85E43">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53599DDE">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36A2FA38">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06D19D6A">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透水水泥混凝土</w:t>
            </w:r>
          </w:p>
        </w:tc>
        <w:tc>
          <w:tcPr>
            <w:tcW w:w="3769" w:type="dxa"/>
            <w:tcBorders>
              <w:top w:val="single" w:color="000000" w:sz="2" w:space="0"/>
              <w:left w:val="single" w:color="000000" w:sz="2" w:space="0"/>
              <w:bottom w:val="single" w:color="000000" w:sz="2" w:space="0"/>
              <w:right w:val="single" w:color="000000" w:sz="2" w:space="0"/>
            </w:tcBorders>
            <w:vAlign w:val="center"/>
          </w:tcPr>
          <w:p w14:paraId="1879B85E">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48D0555D">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3FD996EA">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46599F15">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透水沥青混凝土</w:t>
            </w:r>
          </w:p>
        </w:tc>
        <w:tc>
          <w:tcPr>
            <w:tcW w:w="3769" w:type="dxa"/>
            <w:tcBorders>
              <w:top w:val="single" w:color="000000" w:sz="2" w:space="0"/>
              <w:left w:val="single" w:color="000000" w:sz="2" w:space="0"/>
              <w:bottom w:val="single" w:color="000000" w:sz="2" w:space="0"/>
              <w:right w:val="single" w:color="000000" w:sz="2" w:space="0"/>
            </w:tcBorders>
            <w:vAlign w:val="center"/>
          </w:tcPr>
          <w:p w14:paraId="50091107">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14721980">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0E91CF25">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6B5A6449">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绿色屋顶</w:t>
            </w:r>
          </w:p>
        </w:tc>
        <w:tc>
          <w:tcPr>
            <w:tcW w:w="3769" w:type="dxa"/>
            <w:tcBorders>
              <w:top w:val="single" w:color="000000" w:sz="2" w:space="0"/>
              <w:left w:val="single" w:color="000000" w:sz="2" w:space="0"/>
              <w:bottom w:val="single" w:color="000000" w:sz="2" w:space="0"/>
              <w:right w:val="single" w:color="000000" w:sz="2" w:space="0"/>
            </w:tcBorders>
            <w:vAlign w:val="center"/>
          </w:tcPr>
          <w:p w14:paraId="1FB15A96">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0089A3EA">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5D3614AF">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19DE7B3F">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下沉式绿地</w:t>
            </w:r>
          </w:p>
        </w:tc>
        <w:tc>
          <w:tcPr>
            <w:tcW w:w="3769" w:type="dxa"/>
            <w:tcBorders>
              <w:top w:val="single" w:color="000000" w:sz="2" w:space="0"/>
              <w:left w:val="single" w:color="000000" w:sz="2" w:space="0"/>
              <w:bottom w:val="single" w:color="000000" w:sz="2" w:space="0"/>
              <w:right w:val="single" w:color="000000" w:sz="2" w:space="0"/>
            </w:tcBorders>
            <w:vAlign w:val="center"/>
          </w:tcPr>
          <w:p w14:paraId="7D8CC62A">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23A55EDE">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3D64EEE3">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15071E4A">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简易型生物滞留设施</w:t>
            </w:r>
          </w:p>
        </w:tc>
        <w:tc>
          <w:tcPr>
            <w:tcW w:w="3769" w:type="dxa"/>
            <w:tcBorders>
              <w:top w:val="single" w:color="000000" w:sz="2" w:space="0"/>
              <w:left w:val="single" w:color="000000" w:sz="2" w:space="0"/>
              <w:bottom w:val="single" w:color="000000" w:sz="2" w:space="0"/>
              <w:right w:val="single" w:color="000000" w:sz="2" w:space="0"/>
            </w:tcBorders>
            <w:vAlign w:val="center"/>
          </w:tcPr>
          <w:p w14:paraId="2B6263A5">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2096DEAC">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1A2E9285">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1D53ED6C">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复杂型生物滞留设施</w:t>
            </w:r>
          </w:p>
        </w:tc>
        <w:tc>
          <w:tcPr>
            <w:tcW w:w="3769" w:type="dxa"/>
            <w:tcBorders>
              <w:top w:val="single" w:color="000000" w:sz="2" w:space="0"/>
              <w:left w:val="single" w:color="000000" w:sz="2" w:space="0"/>
              <w:bottom w:val="single" w:color="000000" w:sz="2" w:space="0"/>
              <w:right w:val="single" w:color="000000" w:sz="2" w:space="0"/>
            </w:tcBorders>
            <w:vAlign w:val="center"/>
          </w:tcPr>
          <w:p w14:paraId="2C2EB1E4">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531D9438">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4A193208">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42600609">
            <w:pPr>
              <w:pStyle w:val="38"/>
              <w:keepNext w:val="0"/>
              <w:keepLines w:val="0"/>
              <w:suppressLineNumbers w:val="0"/>
              <w:spacing w:before="10"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渗透塘</w:t>
            </w:r>
          </w:p>
        </w:tc>
        <w:tc>
          <w:tcPr>
            <w:tcW w:w="3769" w:type="dxa"/>
            <w:tcBorders>
              <w:top w:val="single" w:color="000000" w:sz="2" w:space="0"/>
              <w:left w:val="single" w:color="000000" w:sz="2" w:space="0"/>
              <w:bottom w:val="single" w:color="000000" w:sz="2" w:space="0"/>
              <w:right w:val="single" w:color="000000" w:sz="2" w:space="0"/>
            </w:tcBorders>
            <w:vAlign w:val="center"/>
          </w:tcPr>
          <w:p w14:paraId="514CD698">
            <w:pPr>
              <w:pStyle w:val="38"/>
              <w:keepNext w:val="0"/>
              <w:keepLines w:val="0"/>
              <w:suppressLineNumbers w:val="0"/>
              <w:spacing w:before="10"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4B5CD56D">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bottom w:val="single" w:color="000000" w:sz="2" w:space="0"/>
              <w:right w:val="single" w:color="000000" w:sz="2" w:space="0"/>
            </w:tcBorders>
            <w:vAlign w:val="center"/>
          </w:tcPr>
          <w:p w14:paraId="2D9EC69A">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134AA0D1">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渗井</w:t>
            </w:r>
          </w:p>
        </w:tc>
        <w:tc>
          <w:tcPr>
            <w:tcW w:w="3769" w:type="dxa"/>
            <w:tcBorders>
              <w:top w:val="single" w:color="000000" w:sz="2" w:space="0"/>
              <w:left w:val="single" w:color="000000" w:sz="2" w:space="0"/>
              <w:bottom w:val="single" w:color="000000" w:sz="2" w:space="0"/>
              <w:right w:val="single" w:color="000000" w:sz="2" w:space="0"/>
            </w:tcBorders>
            <w:vAlign w:val="center"/>
          </w:tcPr>
          <w:p w14:paraId="6B8347FD">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2F76D2D3">
        <w:tblPrEx>
          <w:tblCellMar>
            <w:top w:w="0" w:type="dxa"/>
            <w:left w:w="0" w:type="dxa"/>
            <w:bottom w:w="0" w:type="dxa"/>
            <w:right w:w="0" w:type="dxa"/>
          </w:tblCellMar>
        </w:tblPrEx>
        <w:trPr>
          <w:trHeight w:val="397" w:hRule="exact"/>
          <w:jc w:val="center"/>
        </w:trPr>
        <w:tc>
          <w:tcPr>
            <w:tcW w:w="2183" w:type="dxa"/>
            <w:vMerge w:val="restart"/>
            <w:tcBorders>
              <w:top w:val="single" w:color="000000" w:sz="2" w:space="0"/>
              <w:left w:val="single" w:color="000000" w:sz="8" w:space="0"/>
              <w:right w:val="single" w:color="000000" w:sz="2" w:space="0"/>
            </w:tcBorders>
            <w:vAlign w:val="center"/>
          </w:tcPr>
          <w:p w14:paraId="3DCC1A1C">
            <w:pPr>
              <w:pStyle w:val="38"/>
              <w:keepNext w:val="0"/>
              <w:keepLines w:val="0"/>
              <w:suppressLineNumbers w:val="0"/>
              <w:spacing w:before="0"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储存技术</w:t>
            </w:r>
          </w:p>
        </w:tc>
        <w:tc>
          <w:tcPr>
            <w:tcW w:w="3062" w:type="dxa"/>
            <w:tcBorders>
              <w:top w:val="single" w:color="000000" w:sz="2" w:space="0"/>
              <w:left w:val="single" w:color="000000" w:sz="2" w:space="0"/>
              <w:bottom w:val="single" w:color="000000" w:sz="2" w:space="0"/>
              <w:right w:val="single" w:color="000000" w:sz="2" w:space="0"/>
            </w:tcBorders>
            <w:vAlign w:val="center"/>
          </w:tcPr>
          <w:p w14:paraId="300CD8E1">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湿塘</w:t>
            </w:r>
          </w:p>
        </w:tc>
        <w:tc>
          <w:tcPr>
            <w:tcW w:w="3769" w:type="dxa"/>
            <w:tcBorders>
              <w:top w:val="single" w:color="000000" w:sz="2" w:space="0"/>
              <w:left w:val="single" w:color="000000" w:sz="2" w:space="0"/>
              <w:bottom w:val="single" w:color="000000" w:sz="2" w:space="0"/>
              <w:right w:val="single" w:color="000000" w:sz="2" w:space="0"/>
            </w:tcBorders>
            <w:vAlign w:val="center"/>
          </w:tcPr>
          <w:p w14:paraId="3DC93D02">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44EE19A4">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677C3C8E">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7282C342">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雨水湿地</w:t>
            </w:r>
          </w:p>
        </w:tc>
        <w:tc>
          <w:tcPr>
            <w:tcW w:w="3769" w:type="dxa"/>
            <w:tcBorders>
              <w:top w:val="single" w:color="000000" w:sz="2" w:space="0"/>
              <w:left w:val="single" w:color="000000" w:sz="2" w:space="0"/>
              <w:bottom w:val="single" w:color="000000" w:sz="2" w:space="0"/>
              <w:right w:val="single" w:color="000000" w:sz="2" w:space="0"/>
            </w:tcBorders>
            <w:vAlign w:val="center"/>
          </w:tcPr>
          <w:p w14:paraId="66A21F0C">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4D049956">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5190B2A6">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2B5CD356">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蓄水池</w:t>
            </w:r>
          </w:p>
        </w:tc>
        <w:tc>
          <w:tcPr>
            <w:tcW w:w="3769" w:type="dxa"/>
            <w:tcBorders>
              <w:top w:val="single" w:color="000000" w:sz="2" w:space="0"/>
              <w:left w:val="single" w:color="000000" w:sz="2" w:space="0"/>
              <w:bottom w:val="single" w:color="000000" w:sz="2" w:space="0"/>
              <w:right w:val="single" w:color="000000" w:sz="2" w:space="0"/>
            </w:tcBorders>
            <w:vAlign w:val="center"/>
          </w:tcPr>
          <w:p w14:paraId="0023A14B">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605021A1">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bottom w:val="single" w:color="000000" w:sz="2" w:space="0"/>
              <w:right w:val="single" w:color="000000" w:sz="2" w:space="0"/>
            </w:tcBorders>
            <w:vAlign w:val="center"/>
          </w:tcPr>
          <w:p w14:paraId="39427B1D">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6B05AD7C">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雨水罐</w:t>
            </w:r>
          </w:p>
        </w:tc>
        <w:tc>
          <w:tcPr>
            <w:tcW w:w="3769" w:type="dxa"/>
            <w:tcBorders>
              <w:top w:val="single" w:color="000000" w:sz="2" w:space="0"/>
              <w:left w:val="single" w:color="000000" w:sz="2" w:space="0"/>
              <w:bottom w:val="single" w:color="000000" w:sz="2" w:space="0"/>
              <w:right w:val="single" w:color="000000" w:sz="2" w:space="0"/>
            </w:tcBorders>
            <w:vAlign w:val="center"/>
          </w:tcPr>
          <w:p w14:paraId="5A4BCC7B">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10FF1712">
        <w:tblPrEx>
          <w:tblCellMar>
            <w:top w:w="0" w:type="dxa"/>
            <w:left w:w="0" w:type="dxa"/>
            <w:bottom w:w="0" w:type="dxa"/>
            <w:right w:w="0" w:type="dxa"/>
          </w:tblCellMar>
        </w:tblPrEx>
        <w:trPr>
          <w:trHeight w:val="397" w:hRule="exact"/>
          <w:jc w:val="center"/>
        </w:trPr>
        <w:tc>
          <w:tcPr>
            <w:tcW w:w="2183" w:type="dxa"/>
            <w:vMerge w:val="restart"/>
            <w:tcBorders>
              <w:top w:val="single" w:color="000000" w:sz="2" w:space="0"/>
              <w:left w:val="single" w:color="000000" w:sz="8" w:space="0"/>
              <w:right w:val="single" w:color="000000" w:sz="2" w:space="0"/>
            </w:tcBorders>
            <w:vAlign w:val="center"/>
          </w:tcPr>
          <w:p w14:paraId="6DCF5C63">
            <w:pPr>
              <w:pStyle w:val="38"/>
              <w:keepNext w:val="0"/>
              <w:keepLines w:val="0"/>
              <w:suppressLineNumbers w:val="0"/>
              <w:spacing w:before="0"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调节技术</w:t>
            </w:r>
          </w:p>
        </w:tc>
        <w:tc>
          <w:tcPr>
            <w:tcW w:w="3062" w:type="dxa"/>
            <w:tcBorders>
              <w:top w:val="single" w:color="000000" w:sz="2" w:space="0"/>
              <w:left w:val="single" w:color="000000" w:sz="2" w:space="0"/>
              <w:bottom w:val="single" w:color="000000" w:sz="2" w:space="0"/>
              <w:right w:val="single" w:color="000000" w:sz="2" w:space="0"/>
            </w:tcBorders>
            <w:vAlign w:val="center"/>
          </w:tcPr>
          <w:p w14:paraId="1AA4D8F5">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调节塘</w:t>
            </w:r>
          </w:p>
        </w:tc>
        <w:tc>
          <w:tcPr>
            <w:tcW w:w="3769" w:type="dxa"/>
            <w:tcBorders>
              <w:top w:val="single" w:color="000000" w:sz="2" w:space="0"/>
              <w:left w:val="single" w:color="000000" w:sz="2" w:space="0"/>
              <w:bottom w:val="single" w:color="000000" w:sz="2" w:space="0"/>
              <w:right w:val="single" w:color="000000" w:sz="2" w:space="0"/>
            </w:tcBorders>
            <w:vAlign w:val="center"/>
          </w:tcPr>
          <w:p w14:paraId="551B36D1">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1F2E06B9">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bottom w:val="single" w:color="000000" w:sz="2" w:space="0"/>
              <w:right w:val="single" w:color="000000" w:sz="2" w:space="0"/>
            </w:tcBorders>
            <w:vAlign w:val="center"/>
          </w:tcPr>
          <w:p w14:paraId="740F94D4">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69E664BB">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调节池</w:t>
            </w:r>
          </w:p>
        </w:tc>
        <w:tc>
          <w:tcPr>
            <w:tcW w:w="3769" w:type="dxa"/>
            <w:tcBorders>
              <w:top w:val="single" w:color="000000" w:sz="2" w:space="0"/>
              <w:left w:val="single" w:color="000000" w:sz="2" w:space="0"/>
              <w:bottom w:val="single" w:color="000000" w:sz="2" w:space="0"/>
              <w:right w:val="single" w:color="000000" w:sz="2" w:space="0"/>
            </w:tcBorders>
            <w:vAlign w:val="center"/>
          </w:tcPr>
          <w:p w14:paraId="1E919BCA">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1CC1C3E2">
        <w:tblPrEx>
          <w:tblCellMar>
            <w:top w:w="0" w:type="dxa"/>
            <w:left w:w="0" w:type="dxa"/>
            <w:bottom w:w="0" w:type="dxa"/>
            <w:right w:w="0" w:type="dxa"/>
          </w:tblCellMar>
        </w:tblPrEx>
        <w:trPr>
          <w:trHeight w:val="397" w:hRule="exact"/>
          <w:jc w:val="center"/>
        </w:trPr>
        <w:tc>
          <w:tcPr>
            <w:tcW w:w="2183" w:type="dxa"/>
            <w:vMerge w:val="restart"/>
            <w:tcBorders>
              <w:top w:val="single" w:color="000000" w:sz="2" w:space="0"/>
              <w:left w:val="single" w:color="000000" w:sz="8" w:space="0"/>
              <w:right w:val="single" w:color="000000" w:sz="2" w:space="0"/>
            </w:tcBorders>
            <w:vAlign w:val="center"/>
          </w:tcPr>
          <w:p w14:paraId="7AB05D28">
            <w:pPr>
              <w:pStyle w:val="38"/>
              <w:keepNext w:val="0"/>
              <w:keepLines w:val="0"/>
              <w:suppressLineNumbers w:val="0"/>
              <w:spacing w:before="0"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转输技术</w:t>
            </w:r>
          </w:p>
        </w:tc>
        <w:tc>
          <w:tcPr>
            <w:tcW w:w="3062" w:type="dxa"/>
            <w:tcBorders>
              <w:top w:val="single" w:color="000000" w:sz="2" w:space="0"/>
              <w:left w:val="single" w:color="000000" w:sz="2" w:space="0"/>
              <w:bottom w:val="single" w:color="000000" w:sz="2" w:space="0"/>
              <w:right w:val="single" w:color="000000" w:sz="2" w:space="0"/>
            </w:tcBorders>
            <w:vAlign w:val="center"/>
          </w:tcPr>
          <w:p w14:paraId="5D91DC52">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转输型植草沟</w:t>
            </w:r>
          </w:p>
        </w:tc>
        <w:tc>
          <w:tcPr>
            <w:tcW w:w="3769" w:type="dxa"/>
            <w:tcBorders>
              <w:top w:val="single" w:color="000000" w:sz="2" w:space="0"/>
              <w:left w:val="single" w:color="000000" w:sz="2" w:space="0"/>
              <w:bottom w:val="single" w:color="000000" w:sz="2" w:space="0"/>
              <w:right w:val="single" w:color="000000" w:sz="2" w:space="0"/>
            </w:tcBorders>
            <w:vAlign w:val="center"/>
          </w:tcPr>
          <w:p w14:paraId="3A1D1CE8">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31639527">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332C3494">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3927FCB1">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干式植草沟</w:t>
            </w:r>
          </w:p>
        </w:tc>
        <w:tc>
          <w:tcPr>
            <w:tcW w:w="3769" w:type="dxa"/>
            <w:tcBorders>
              <w:top w:val="single" w:color="000000" w:sz="2" w:space="0"/>
              <w:left w:val="single" w:color="000000" w:sz="2" w:space="0"/>
              <w:bottom w:val="single" w:color="000000" w:sz="2" w:space="0"/>
              <w:right w:val="single" w:color="000000" w:sz="2" w:space="0"/>
            </w:tcBorders>
            <w:vAlign w:val="center"/>
          </w:tcPr>
          <w:p w14:paraId="159FC5DE">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1E18426C">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694C081E">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73B8B44D">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湿式植草沟</w:t>
            </w:r>
          </w:p>
        </w:tc>
        <w:tc>
          <w:tcPr>
            <w:tcW w:w="3769" w:type="dxa"/>
            <w:tcBorders>
              <w:top w:val="single" w:color="000000" w:sz="2" w:space="0"/>
              <w:left w:val="single" w:color="000000" w:sz="2" w:space="0"/>
              <w:bottom w:val="single" w:color="000000" w:sz="2" w:space="0"/>
              <w:right w:val="single" w:color="000000" w:sz="2" w:space="0"/>
            </w:tcBorders>
            <w:vAlign w:val="center"/>
          </w:tcPr>
          <w:p w14:paraId="1D97C5D8">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37943A66">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bottom w:val="single" w:color="000000" w:sz="2" w:space="0"/>
              <w:right w:val="single" w:color="000000" w:sz="2" w:space="0"/>
            </w:tcBorders>
            <w:vAlign w:val="center"/>
          </w:tcPr>
          <w:p w14:paraId="163C43BD">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44B8D69F">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渗管/渠</w:t>
            </w:r>
          </w:p>
        </w:tc>
        <w:tc>
          <w:tcPr>
            <w:tcW w:w="3769" w:type="dxa"/>
            <w:tcBorders>
              <w:top w:val="single" w:color="000000" w:sz="2" w:space="0"/>
              <w:left w:val="single" w:color="000000" w:sz="2" w:space="0"/>
              <w:bottom w:val="single" w:color="000000" w:sz="2" w:space="0"/>
              <w:right w:val="single" w:color="000000" w:sz="2" w:space="0"/>
            </w:tcBorders>
            <w:vAlign w:val="center"/>
          </w:tcPr>
          <w:p w14:paraId="129CADB2">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r w14:paraId="77C78EDA">
        <w:tblPrEx>
          <w:tblCellMar>
            <w:top w:w="0" w:type="dxa"/>
            <w:left w:w="0" w:type="dxa"/>
            <w:bottom w:w="0" w:type="dxa"/>
            <w:right w:w="0" w:type="dxa"/>
          </w:tblCellMar>
        </w:tblPrEx>
        <w:trPr>
          <w:trHeight w:val="397" w:hRule="exact"/>
          <w:jc w:val="center"/>
        </w:trPr>
        <w:tc>
          <w:tcPr>
            <w:tcW w:w="2183" w:type="dxa"/>
            <w:vMerge w:val="restart"/>
            <w:tcBorders>
              <w:top w:val="single" w:color="000000" w:sz="2" w:space="0"/>
              <w:left w:val="single" w:color="000000" w:sz="8" w:space="0"/>
              <w:right w:val="single" w:color="000000" w:sz="2" w:space="0"/>
            </w:tcBorders>
            <w:vAlign w:val="center"/>
          </w:tcPr>
          <w:p w14:paraId="127AF160">
            <w:pPr>
              <w:pStyle w:val="38"/>
              <w:keepNext w:val="0"/>
              <w:keepLines w:val="0"/>
              <w:suppressLineNumbers w:val="0"/>
              <w:spacing w:before="0"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截污净化技术</w:t>
            </w:r>
          </w:p>
        </w:tc>
        <w:tc>
          <w:tcPr>
            <w:tcW w:w="3062" w:type="dxa"/>
            <w:tcBorders>
              <w:top w:val="single" w:color="000000" w:sz="2" w:space="0"/>
              <w:left w:val="single" w:color="000000" w:sz="2" w:space="0"/>
              <w:bottom w:val="single" w:color="000000" w:sz="2" w:space="0"/>
              <w:right w:val="single" w:color="000000" w:sz="2" w:space="0"/>
            </w:tcBorders>
            <w:vAlign w:val="center"/>
          </w:tcPr>
          <w:p w14:paraId="294B3949">
            <w:pPr>
              <w:pStyle w:val="38"/>
              <w:keepNext w:val="0"/>
              <w:keepLines w:val="0"/>
              <w:suppressLineNumbers w:val="0"/>
              <w:spacing w:before="10"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植被缓冲带</w:t>
            </w:r>
          </w:p>
        </w:tc>
        <w:tc>
          <w:tcPr>
            <w:tcW w:w="3769" w:type="dxa"/>
            <w:tcBorders>
              <w:top w:val="single" w:color="000000" w:sz="2" w:space="0"/>
              <w:left w:val="single" w:color="000000" w:sz="2" w:space="0"/>
              <w:bottom w:val="single" w:color="000000" w:sz="2" w:space="0"/>
              <w:right w:val="single" w:color="000000" w:sz="2" w:space="0"/>
            </w:tcBorders>
            <w:vAlign w:val="center"/>
          </w:tcPr>
          <w:p w14:paraId="57C11F42">
            <w:pPr>
              <w:pStyle w:val="38"/>
              <w:keepNext w:val="0"/>
              <w:keepLines w:val="0"/>
              <w:suppressLineNumbers w:val="0"/>
              <w:spacing w:before="10"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1B655721">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right w:val="single" w:color="000000" w:sz="2" w:space="0"/>
            </w:tcBorders>
            <w:vAlign w:val="center"/>
          </w:tcPr>
          <w:p w14:paraId="165AAD0F">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2" w:space="0"/>
              <w:right w:val="single" w:color="000000" w:sz="2" w:space="0"/>
            </w:tcBorders>
            <w:vAlign w:val="center"/>
          </w:tcPr>
          <w:p w14:paraId="3DF70277">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初期雨水弃流设施</w:t>
            </w:r>
          </w:p>
        </w:tc>
        <w:tc>
          <w:tcPr>
            <w:tcW w:w="3769" w:type="dxa"/>
            <w:tcBorders>
              <w:top w:val="single" w:color="000000" w:sz="2" w:space="0"/>
              <w:left w:val="single" w:color="000000" w:sz="2" w:space="0"/>
              <w:bottom w:val="single" w:color="000000" w:sz="2" w:space="0"/>
              <w:right w:val="single" w:color="000000" w:sz="2" w:space="0"/>
            </w:tcBorders>
            <w:vAlign w:val="center"/>
          </w:tcPr>
          <w:p w14:paraId="14631A3F">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r w14:paraId="67DB847A">
        <w:tblPrEx>
          <w:tblCellMar>
            <w:top w:w="0" w:type="dxa"/>
            <w:left w:w="0" w:type="dxa"/>
            <w:bottom w:w="0" w:type="dxa"/>
            <w:right w:w="0" w:type="dxa"/>
          </w:tblCellMar>
        </w:tblPrEx>
        <w:trPr>
          <w:trHeight w:val="397" w:hRule="exact"/>
          <w:jc w:val="center"/>
        </w:trPr>
        <w:tc>
          <w:tcPr>
            <w:tcW w:w="2183" w:type="dxa"/>
            <w:vMerge w:val="continue"/>
            <w:tcBorders>
              <w:left w:val="single" w:color="000000" w:sz="8" w:space="0"/>
              <w:bottom w:val="single" w:color="000000" w:sz="8" w:space="0"/>
              <w:right w:val="single" w:color="000000" w:sz="2" w:space="0"/>
            </w:tcBorders>
            <w:vAlign w:val="center"/>
          </w:tcPr>
          <w:p w14:paraId="034364E0">
            <w:pPr>
              <w:keepNext w:val="0"/>
              <w:keepLines w:val="0"/>
              <w:widowControl/>
              <w:suppressLineNumbers w:val="0"/>
              <w:spacing w:before="0" w:beforeAutospacing="0" w:after="0" w:afterAutospacing="0"/>
              <w:ind w:left="0" w:right="0" w:firstLine="420"/>
              <w:jc w:val="both"/>
              <w:rPr>
                <w:rFonts w:hint="default" w:ascii="宋体" w:hAnsi="宋体" w:cs="宋体"/>
                <w:color w:val="auto"/>
                <w:sz w:val="21"/>
                <w:szCs w:val="21"/>
                <w:highlight w:val="none"/>
              </w:rPr>
            </w:pPr>
          </w:p>
        </w:tc>
        <w:tc>
          <w:tcPr>
            <w:tcW w:w="3062" w:type="dxa"/>
            <w:tcBorders>
              <w:top w:val="single" w:color="000000" w:sz="2" w:space="0"/>
              <w:left w:val="single" w:color="000000" w:sz="2" w:space="0"/>
              <w:bottom w:val="single" w:color="000000" w:sz="8" w:space="0"/>
              <w:right w:val="single" w:color="000000" w:sz="2" w:space="0"/>
            </w:tcBorders>
            <w:vAlign w:val="center"/>
          </w:tcPr>
          <w:p w14:paraId="7C0221D8">
            <w:pPr>
              <w:pStyle w:val="38"/>
              <w:keepNext w:val="0"/>
              <w:keepLines w:val="0"/>
              <w:suppressLineNumbers w:val="0"/>
              <w:spacing w:before="8" w:beforeAutospacing="0" w:after="0" w:afterAutospacing="0"/>
              <w:ind w:left="0" w:right="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人工土壤渗滤</w:t>
            </w:r>
          </w:p>
        </w:tc>
        <w:tc>
          <w:tcPr>
            <w:tcW w:w="3769" w:type="dxa"/>
            <w:tcBorders>
              <w:top w:val="single" w:color="000000" w:sz="2" w:space="0"/>
              <w:left w:val="single" w:color="000000" w:sz="2" w:space="0"/>
              <w:bottom w:val="single" w:color="000000" w:sz="8" w:space="0"/>
              <w:right w:val="single" w:color="000000" w:sz="2" w:space="0"/>
            </w:tcBorders>
            <w:vAlign w:val="center"/>
          </w:tcPr>
          <w:p w14:paraId="00B28602">
            <w:pPr>
              <w:pStyle w:val="38"/>
              <w:keepNext w:val="0"/>
              <w:keepLines w:val="0"/>
              <w:suppressLineNumbers w:val="0"/>
              <w:spacing w:before="8" w:beforeAutospacing="0" w:after="0" w:afterAutospacing="0"/>
              <w:ind w:left="0" w:right="0" w:firstLine="480"/>
              <w:jc w:val="both"/>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p>
        </w:tc>
      </w:tr>
    </w:tbl>
    <w:p w14:paraId="7F7CC1B3">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注：●——选用  ○——无选用。</w:t>
      </w:r>
    </w:p>
    <w:p w14:paraId="307EA8A7">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通过对本项实际情况的分析梳理， 基于雨水利用技术、经济合理、因地制宜，改变传统给排水方式，把快速排除城市雨洪至市政管网，改为生态化排水方式，增强渗透、调蓄利用，修复水循环路径，促进城市和社区向生态型转变。</w:t>
      </w:r>
    </w:p>
    <w:p w14:paraId="680C6B41">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本项目采取了“滞、渗、净、排”为主的海绵策略，综合采下沉式绿地、透水铺装、环保雨水口等技术措施，削减净化场地雨水径流。在传统设计的基础上，在道路铺装集中、场地地点，设置生物滞留设施，汇集收集地表径流，生物滞留设施内设置溢流雨水口， 当降雨强度超过标准时，通过溢流雨水口排放至市政雨水管渠。</w:t>
      </w:r>
    </w:p>
    <w:p w14:paraId="0EFA2EB6">
      <w:pPr>
        <w:adjustRightInd w:val="0"/>
        <w:snapToGrid w:val="0"/>
        <w:ind w:firstLine="480"/>
        <w:jc w:val="center"/>
        <w:rPr>
          <w:rFonts w:ascii="宋体" w:hAnsi="宋体" w:cs="宋体"/>
          <w:color w:val="auto"/>
          <w:highlight w:val="none"/>
        </w:rPr>
      </w:pPr>
      <w:r>
        <w:rPr>
          <w:rFonts w:hint="eastAsia" w:ascii="宋体" w:hAnsi="宋体" w:cs="宋体"/>
          <w:color w:val="auto"/>
          <w:highlight w:val="none"/>
        </w:rPr>
        <w:drawing>
          <wp:inline distT="0" distB="0" distL="114300" distR="114300">
            <wp:extent cx="5514975" cy="1222375"/>
            <wp:effectExtent l="0" t="0" r="952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11"/>
                    <a:stretch>
                      <a:fillRect/>
                    </a:stretch>
                  </pic:blipFill>
                  <pic:spPr>
                    <a:xfrm>
                      <a:off x="0" y="0"/>
                      <a:ext cx="5514975" cy="1222375"/>
                    </a:xfrm>
                    <a:prstGeom prst="rect">
                      <a:avLst/>
                    </a:prstGeom>
                    <a:noFill/>
                    <a:ln>
                      <a:noFill/>
                    </a:ln>
                  </pic:spPr>
                </pic:pic>
              </a:graphicData>
            </a:graphic>
          </wp:inline>
        </w:drawing>
      </w:r>
    </w:p>
    <w:p w14:paraId="277C7890">
      <w:pPr>
        <w:pStyle w:val="7"/>
        <w:adjustRightInd w:val="0"/>
        <w:snapToGrid w:val="0"/>
        <w:spacing w:line="360" w:lineRule="auto"/>
        <w:ind w:firstLine="422" w:firstLineChars="200"/>
        <w:jc w:val="center"/>
        <w:rPr>
          <w:rFonts w:ascii="宋体" w:hAnsi="宋体" w:eastAsia="宋体" w:cs="宋体"/>
          <w:b/>
          <w:bCs/>
          <w:color w:val="auto"/>
          <w:kern w:val="2"/>
          <w:sz w:val="21"/>
          <w:szCs w:val="21"/>
          <w:highlight w:val="none"/>
          <w:lang w:eastAsia="zh-CN"/>
        </w:rPr>
      </w:pPr>
      <w:r>
        <w:rPr>
          <w:rFonts w:hint="eastAsia" w:ascii="宋体" w:hAnsi="宋体" w:eastAsia="宋体" w:cs="宋体"/>
          <w:b/>
          <w:bCs/>
          <w:color w:val="auto"/>
          <w:kern w:val="2"/>
          <w:sz w:val="21"/>
          <w:szCs w:val="21"/>
          <w:highlight w:val="none"/>
          <w:lang w:eastAsia="zh-CN"/>
        </w:rPr>
        <w:t>道路排水技术路线图</w:t>
      </w:r>
    </w:p>
    <w:p w14:paraId="5C0EC3C8">
      <w:pPr>
        <w:pStyle w:val="3"/>
        <w:bidi w:val="0"/>
        <w:rPr>
          <w:rFonts w:hint="eastAsia" w:eastAsia="宋体" w:cs="Times New Roman"/>
          <w:color w:val="auto"/>
          <w:highlight w:val="none"/>
          <w:lang w:eastAsia="zh-CN"/>
        </w:rPr>
      </w:pPr>
      <w:r>
        <w:rPr>
          <w:rFonts w:hint="eastAsia"/>
          <w:color w:val="auto"/>
          <w:highlight w:val="none"/>
          <w:lang w:eastAsia="zh-CN"/>
        </w:rPr>
        <w:t>海绵设施工艺设计</w:t>
      </w:r>
    </w:p>
    <w:p w14:paraId="50BAAF74">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eastAsia="zh-CN"/>
        </w:rPr>
        <w:t>（1）下沉式绿地设计</w:t>
      </w:r>
      <w:r>
        <w:rPr>
          <w:rFonts w:hint="eastAsia" w:ascii="宋体" w:hAnsi="宋体"/>
          <w:color w:val="auto"/>
          <w:highlight w:val="none"/>
          <w:lang w:eastAsia="zh-CN"/>
        </w:rPr>
        <w:tab/>
      </w:r>
    </w:p>
    <w:p w14:paraId="2AD2B71F">
      <w:pPr>
        <w:adjustRightInd w:val="0"/>
        <w:spacing w:line="360" w:lineRule="auto"/>
        <w:ind w:firstLine="480" w:firstLineChars="200"/>
        <w:jc w:val="both"/>
        <w:rPr>
          <w:rFonts w:ascii="宋体" w:hAnsi="宋体"/>
          <w:color w:val="auto"/>
          <w:highlight w:val="none"/>
          <w:lang w:val="zh-CN" w:eastAsia="zh-CN"/>
        </w:rPr>
      </w:pPr>
      <w:r>
        <w:rPr>
          <w:rFonts w:hint="eastAsia" w:ascii="宋体" w:hAnsi="宋体"/>
          <w:color w:val="auto"/>
          <w:highlight w:val="none"/>
          <w:lang w:val="zh-CN" w:eastAsia="zh-CN"/>
        </w:rPr>
        <w:t>本项目下沉式绿地面积</w:t>
      </w:r>
      <w:r>
        <w:rPr>
          <w:rFonts w:hint="eastAsia" w:ascii="宋体" w:hAnsi="宋体"/>
          <w:color w:val="auto"/>
          <w:highlight w:val="none"/>
          <w:lang w:val="en-US" w:eastAsia="zh-CN"/>
        </w:rPr>
        <w:t>5137.12</w:t>
      </w:r>
      <w:r>
        <w:rPr>
          <w:rFonts w:hint="eastAsia" w:ascii="宋体" w:hAnsi="宋体"/>
          <w:color w:val="auto"/>
          <w:highlight w:val="none"/>
          <w:lang w:val="zh-CN" w:eastAsia="zh-CN"/>
        </w:rPr>
        <w:t>平方米，其宽度根据绿化带宽度确定，其剖面自上至下为蓄水层、种植土层、砾石层（内含</w:t>
      </w:r>
      <w:r>
        <w:rPr>
          <w:rFonts w:hint="eastAsia" w:ascii="宋体" w:hAnsi="宋体"/>
          <w:color w:val="auto"/>
          <w:highlight w:val="none"/>
          <w:lang w:eastAsia="zh-CN"/>
        </w:rPr>
        <w:t>D</w:t>
      </w:r>
      <w:r>
        <w:rPr>
          <w:rFonts w:hint="eastAsia" w:ascii="宋体" w:hAnsi="宋体"/>
          <w:color w:val="auto"/>
          <w:highlight w:val="none"/>
          <w:lang w:val="en-US" w:eastAsia="zh-CN"/>
        </w:rPr>
        <w:t>e160</w:t>
      </w:r>
      <w:r>
        <w:rPr>
          <w:rFonts w:hint="eastAsia" w:ascii="宋体" w:hAnsi="宋体"/>
          <w:color w:val="auto"/>
          <w:highlight w:val="none"/>
          <w:lang w:val="zh-CN" w:eastAsia="zh-CN"/>
        </w:rPr>
        <w:t>穿孔排水管）。下沉式绿地深度：</w:t>
      </w:r>
    </w:p>
    <w:p w14:paraId="41C1AEFA">
      <w:pPr>
        <w:adjustRightInd w:val="0"/>
        <w:spacing w:line="360" w:lineRule="auto"/>
        <w:ind w:firstLine="480" w:firstLineChars="200"/>
        <w:jc w:val="both"/>
        <w:rPr>
          <w:rFonts w:ascii="宋体" w:hAnsi="宋体"/>
          <w:color w:val="auto"/>
          <w:highlight w:val="none"/>
          <w:lang w:val="zh-CN" w:eastAsia="zh-CN"/>
        </w:rPr>
      </w:pPr>
      <w:r>
        <w:rPr>
          <w:rFonts w:hint="eastAsia" w:ascii="宋体" w:hAnsi="宋体"/>
          <w:color w:val="auto"/>
          <w:highlight w:val="none"/>
          <w:lang w:val="zh-CN" w:eastAsia="zh-CN"/>
        </w:rPr>
        <w:t>h=h1+h2+h3</w:t>
      </w:r>
    </w:p>
    <w:p w14:paraId="61C8F1EF">
      <w:pPr>
        <w:adjustRightInd w:val="0"/>
        <w:spacing w:line="360" w:lineRule="auto"/>
        <w:ind w:firstLine="480" w:firstLineChars="200"/>
        <w:jc w:val="both"/>
        <w:rPr>
          <w:rFonts w:ascii="宋体" w:hAnsi="宋体"/>
          <w:color w:val="auto"/>
          <w:highlight w:val="none"/>
          <w:lang w:val="zh-CN" w:eastAsia="zh-CN"/>
        </w:rPr>
      </w:pPr>
      <w:r>
        <w:rPr>
          <w:rFonts w:hint="eastAsia" w:ascii="宋体" w:hAnsi="宋体"/>
          <w:color w:val="auto"/>
          <w:highlight w:val="none"/>
          <w:lang w:val="zh-CN" w:eastAsia="zh-CN"/>
        </w:rPr>
        <w:t>式中：h1--设计蓄水层深度，取0.</w:t>
      </w:r>
      <w:r>
        <w:rPr>
          <w:rFonts w:ascii="宋体" w:hAnsi="宋体"/>
          <w:color w:val="auto"/>
          <w:highlight w:val="none"/>
          <w:lang w:eastAsia="zh-CN"/>
        </w:rPr>
        <w:t>15</w:t>
      </w:r>
      <w:r>
        <w:rPr>
          <w:rFonts w:hint="eastAsia" w:ascii="宋体" w:hAnsi="宋体"/>
          <w:color w:val="auto"/>
          <w:highlight w:val="none"/>
          <w:lang w:val="zh-CN" w:eastAsia="zh-CN"/>
        </w:rPr>
        <w:t>m</w:t>
      </w:r>
    </w:p>
    <w:p w14:paraId="5F1D8660">
      <w:pPr>
        <w:adjustRightInd w:val="0"/>
        <w:spacing w:line="360" w:lineRule="auto"/>
        <w:ind w:firstLine="480" w:firstLineChars="200"/>
        <w:jc w:val="both"/>
        <w:rPr>
          <w:rFonts w:ascii="宋体" w:hAnsi="宋体"/>
          <w:color w:val="auto"/>
          <w:highlight w:val="none"/>
          <w:lang w:val="zh-CN" w:eastAsia="zh-CN"/>
        </w:rPr>
      </w:pPr>
      <w:r>
        <w:rPr>
          <w:rFonts w:hint="eastAsia" w:ascii="宋体" w:hAnsi="宋体"/>
          <w:color w:val="auto"/>
          <w:highlight w:val="none"/>
          <w:lang w:val="zh-CN" w:eastAsia="zh-CN"/>
        </w:rPr>
        <w:t xml:space="preserve">      h2--为了满足树木生长需求，种植土厚度取0.</w:t>
      </w:r>
      <w:r>
        <w:rPr>
          <w:rFonts w:hint="eastAsia" w:ascii="宋体" w:hAnsi="宋体"/>
          <w:color w:val="auto"/>
          <w:highlight w:val="none"/>
          <w:lang w:eastAsia="zh-CN"/>
        </w:rPr>
        <w:t>3</w:t>
      </w:r>
      <w:r>
        <w:rPr>
          <w:rFonts w:hint="eastAsia" w:ascii="宋体" w:hAnsi="宋体"/>
          <w:color w:val="auto"/>
          <w:highlight w:val="none"/>
          <w:lang w:val="zh-CN" w:eastAsia="zh-CN"/>
        </w:rPr>
        <w:t>m；级配砂石垫层厚度取0.</w:t>
      </w:r>
      <w:r>
        <w:rPr>
          <w:rFonts w:hint="eastAsia" w:ascii="宋体" w:hAnsi="宋体"/>
          <w:color w:val="auto"/>
          <w:highlight w:val="none"/>
          <w:lang w:eastAsia="zh-CN"/>
        </w:rPr>
        <w:t>3</w:t>
      </w:r>
      <w:r>
        <w:rPr>
          <w:rFonts w:hint="eastAsia" w:ascii="宋体" w:hAnsi="宋体"/>
          <w:color w:val="auto"/>
          <w:highlight w:val="none"/>
          <w:lang w:val="en-US" w:eastAsia="zh-CN"/>
        </w:rPr>
        <w:t>~1.2</w:t>
      </w:r>
      <w:r>
        <w:rPr>
          <w:rFonts w:hint="eastAsia" w:ascii="宋体" w:hAnsi="宋体"/>
          <w:color w:val="auto"/>
          <w:highlight w:val="none"/>
          <w:lang w:val="zh-CN" w:eastAsia="zh-CN"/>
        </w:rPr>
        <w:t>m</w:t>
      </w:r>
    </w:p>
    <w:p w14:paraId="2604B52D">
      <w:pPr>
        <w:adjustRightInd w:val="0"/>
        <w:spacing w:line="360" w:lineRule="auto"/>
        <w:ind w:firstLine="480" w:firstLineChars="200"/>
        <w:jc w:val="both"/>
        <w:rPr>
          <w:rFonts w:ascii="宋体" w:hAnsi="宋体"/>
          <w:color w:val="auto"/>
          <w:highlight w:val="none"/>
          <w:lang w:val="zh-CN" w:eastAsia="zh-CN"/>
        </w:rPr>
      </w:pPr>
      <w:r>
        <w:rPr>
          <w:rFonts w:hint="eastAsia" w:ascii="宋体" w:hAnsi="宋体"/>
          <w:color w:val="auto"/>
          <w:highlight w:val="none"/>
          <w:lang w:val="zh-CN" w:eastAsia="zh-CN"/>
        </w:rPr>
        <w:t xml:space="preserve">      h3--砾石层厚度，取0.</w:t>
      </w:r>
      <w:r>
        <w:rPr>
          <w:rFonts w:hint="eastAsia" w:ascii="宋体" w:hAnsi="宋体"/>
          <w:color w:val="auto"/>
          <w:highlight w:val="none"/>
          <w:lang w:val="en-US" w:eastAsia="zh-CN"/>
        </w:rPr>
        <w:t>2</w:t>
      </w:r>
      <w:r>
        <w:rPr>
          <w:rFonts w:hint="eastAsia" w:ascii="宋体" w:hAnsi="宋体"/>
          <w:color w:val="auto"/>
          <w:highlight w:val="none"/>
          <w:lang w:val="zh-CN" w:eastAsia="zh-CN"/>
        </w:rPr>
        <w:t>0m</w:t>
      </w:r>
    </w:p>
    <w:p w14:paraId="3DECE41A">
      <w:pPr>
        <w:adjustRightInd w:val="0"/>
        <w:spacing w:line="360" w:lineRule="auto"/>
        <w:ind w:firstLine="480" w:firstLineChars="200"/>
        <w:jc w:val="both"/>
        <w:rPr>
          <w:rFonts w:ascii="宋体" w:hAnsi="宋体"/>
          <w:color w:val="auto"/>
          <w:highlight w:val="none"/>
          <w:lang w:val="zh-CN" w:eastAsia="zh-CN"/>
        </w:rPr>
      </w:pPr>
      <w:r>
        <w:rPr>
          <w:rFonts w:hint="eastAsia" w:ascii="宋体" w:hAnsi="宋体"/>
          <w:color w:val="auto"/>
          <w:highlight w:val="none"/>
          <w:lang w:val="zh-CN" w:eastAsia="zh-CN"/>
        </w:rPr>
        <w:t>本次设计中，下沉式绿地主要负责收集和处理沿线相邻车行道、人行道的径流雨水。通过地表径流进入下沉式绿地中，其收集的雨水优先通过下渗进行水质和水量的处理（下渗雨水通过碎石层内的自然下渗或穿孔管收集）；超出下渗能力的雨水在持水区持续蓄积，蓄水高度超过边沟导流井顶高时，超量雨水将通过溢流雨水口直接溢流至雨水检查井。</w:t>
      </w:r>
    </w:p>
    <w:p w14:paraId="4D2DE701">
      <w:pPr>
        <w:numPr>
          <w:ilvl w:val="0"/>
          <w:numId w:val="3"/>
        </w:numPr>
        <w:adjustRightInd w:val="0"/>
        <w:spacing w:line="360" w:lineRule="auto"/>
        <w:ind w:firstLine="480" w:firstLineChars="200"/>
        <w:jc w:val="both"/>
        <w:rPr>
          <w:rFonts w:hint="eastAsia" w:ascii="宋体" w:hAnsi="宋体"/>
          <w:color w:val="auto"/>
          <w:highlight w:val="none"/>
          <w:lang w:val="zh-CN" w:eastAsia="zh-CN"/>
        </w:rPr>
      </w:pPr>
      <w:r>
        <w:rPr>
          <w:rFonts w:hint="eastAsia" w:ascii="宋体" w:hAnsi="宋体"/>
          <w:color w:val="auto"/>
          <w:highlight w:val="none"/>
          <w:lang w:val="zh-CN" w:eastAsia="zh-CN"/>
        </w:rPr>
        <w:t>雨水口、溢流式雨水口及穿孔收集管设计</w:t>
      </w:r>
    </w:p>
    <w:p w14:paraId="4BA639AD">
      <w:pPr>
        <w:adjustRightInd w:val="0"/>
        <w:spacing w:line="360" w:lineRule="auto"/>
        <w:ind w:firstLine="480" w:firstLineChars="200"/>
        <w:jc w:val="both"/>
        <w:rPr>
          <w:rFonts w:ascii="宋体" w:hAnsi="宋体"/>
          <w:color w:val="auto"/>
          <w:highlight w:val="none"/>
          <w:lang w:val="zh-CN" w:eastAsia="zh-CN"/>
        </w:rPr>
      </w:pPr>
      <w:r>
        <w:rPr>
          <w:rFonts w:hint="eastAsia" w:ascii="宋体" w:hAnsi="宋体" w:eastAsia="宋体" w:cs="Times New Roman"/>
          <w:color w:val="auto"/>
          <w:sz w:val="24"/>
          <w:szCs w:val="24"/>
          <w:highlight w:val="none"/>
          <w:lang w:val="zh-CN" w:eastAsia="zh-CN" w:bidi="en-US"/>
        </w:rPr>
        <w:t>下沉式绿地带</w:t>
      </w:r>
      <w:r>
        <w:rPr>
          <w:rFonts w:hint="eastAsia" w:ascii="宋体" w:hAnsi="宋体"/>
          <w:color w:val="auto"/>
          <w:highlight w:val="none"/>
          <w:lang w:val="zh-CN" w:eastAsia="zh-CN"/>
        </w:rPr>
        <w:t>每隔约1</w:t>
      </w:r>
      <w:r>
        <w:rPr>
          <w:rFonts w:hint="eastAsia" w:ascii="宋体" w:hAnsi="宋体"/>
          <w:color w:val="auto"/>
          <w:highlight w:val="none"/>
          <w:lang w:val="en-US" w:eastAsia="zh-CN"/>
        </w:rPr>
        <w:t>5</w:t>
      </w:r>
      <w:r>
        <w:rPr>
          <w:rFonts w:hint="eastAsia" w:ascii="宋体" w:hAnsi="宋体"/>
          <w:color w:val="auto"/>
          <w:highlight w:val="none"/>
          <w:lang w:val="zh-CN" w:eastAsia="zh-CN"/>
        </w:rPr>
        <w:t>m设置侧石开口，收集沿线相邻车行道、人行道的径流雨水就近连接设施内附近雨水检查井。</w:t>
      </w:r>
    </w:p>
    <w:p w14:paraId="20A1B7DE">
      <w:pPr>
        <w:adjustRightInd w:val="0"/>
        <w:spacing w:line="360" w:lineRule="auto"/>
        <w:ind w:firstLine="480" w:firstLineChars="200"/>
        <w:jc w:val="both"/>
        <w:rPr>
          <w:rFonts w:ascii="宋体" w:hAnsi="宋体"/>
          <w:color w:val="auto"/>
          <w:highlight w:val="none"/>
          <w:lang w:eastAsia="zh-CN"/>
        </w:rPr>
      </w:pPr>
      <w:r>
        <w:rPr>
          <w:rFonts w:hint="eastAsia" w:ascii="宋体" w:hAnsi="宋体"/>
          <w:color w:val="auto"/>
          <w:highlight w:val="none"/>
          <w:lang w:val="zh-CN" w:eastAsia="zh-CN"/>
        </w:rPr>
        <w:t>穿孔收集管是具有渗透功能的雨水管，可采用穿孔塑料管、无砂混凝土管/渠和砾（碎）石等材料组合而成，</w:t>
      </w:r>
      <w:r>
        <w:rPr>
          <w:rFonts w:hint="eastAsia" w:ascii="宋体" w:hAnsi="宋体"/>
          <w:color w:val="auto"/>
          <w:highlight w:val="none"/>
          <w:lang w:eastAsia="zh-CN"/>
        </w:rPr>
        <w:t>穿孔收集管管径D</w:t>
      </w:r>
      <w:r>
        <w:rPr>
          <w:rFonts w:hint="eastAsia" w:ascii="宋体" w:hAnsi="宋体"/>
          <w:color w:val="auto"/>
          <w:highlight w:val="none"/>
          <w:lang w:val="en-US" w:eastAsia="zh-CN"/>
        </w:rPr>
        <w:t>e160</w:t>
      </w:r>
      <w:r>
        <w:rPr>
          <w:rFonts w:hint="eastAsia" w:ascii="宋体" w:hAnsi="宋体"/>
          <w:color w:val="auto"/>
          <w:highlight w:val="none"/>
          <w:lang w:eastAsia="zh-CN"/>
        </w:rPr>
        <w:t>。</w:t>
      </w:r>
    </w:p>
    <w:p w14:paraId="69A33685">
      <w:pPr>
        <w:ind w:firstLine="480"/>
        <w:jc w:val="center"/>
        <w:rPr>
          <w:rFonts w:ascii="宋体" w:hAnsi="宋体" w:cs="宋体"/>
          <w:color w:val="auto"/>
          <w:sz w:val="21"/>
          <w:szCs w:val="21"/>
          <w:highlight w:val="none"/>
        </w:rPr>
      </w:pPr>
      <w:r>
        <w:rPr>
          <w:color w:val="auto"/>
          <w:highlight w:val="none"/>
          <w:bdr w:val="single" w:sz="4" w:space="0"/>
        </w:rPr>
        <w:drawing>
          <wp:inline distT="0" distB="0" distL="114300" distR="114300">
            <wp:extent cx="5959475" cy="2201545"/>
            <wp:effectExtent l="0" t="0" r="3175"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5959475" cy="2201545"/>
                    </a:xfrm>
                    <a:prstGeom prst="rect">
                      <a:avLst/>
                    </a:prstGeom>
                    <a:noFill/>
                    <a:ln>
                      <a:noFill/>
                    </a:ln>
                  </pic:spPr>
                </pic:pic>
              </a:graphicData>
            </a:graphic>
          </wp:inline>
        </w:drawing>
      </w:r>
    </w:p>
    <w:p w14:paraId="23BDD094">
      <w:pPr>
        <w:ind w:firstLine="420"/>
        <w:jc w:val="center"/>
        <w:rPr>
          <w:rFonts w:ascii="宋体" w:hAnsi="宋体" w:cs="宋体"/>
          <w:b/>
          <w:bCs/>
          <w:color w:val="auto"/>
          <w:sz w:val="21"/>
          <w:szCs w:val="21"/>
          <w:highlight w:val="none"/>
          <w:lang w:eastAsia="zh-CN"/>
        </w:rPr>
      </w:pPr>
      <w:r>
        <w:rPr>
          <w:rFonts w:hint="eastAsia" w:ascii="宋体" w:hAnsi="宋体" w:cs="宋体"/>
          <w:b/>
          <w:bCs/>
          <w:color w:val="auto"/>
          <w:sz w:val="21"/>
          <w:szCs w:val="21"/>
          <w:highlight w:val="none"/>
          <w:lang w:eastAsia="zh-CN"/>
        </w:rPr>
        <w:t>穿孔收集管示意图</w:t>
      </w:r>
    </w:p>
    <w:p w14:paraId="07D51D6B">
      <w:pPr>
        <w:adjustRightInd w:val="0"/>
        <w:spacing w:line="360" w:lineRule="auto"/>
        <w:ind w:firstLine="480" w:firstLineChars="200"/>
        <w:jc w:val="both"/>
        <w:rPr>
          <w:rFonts w:hint="eastAsia"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w:t>
      </w:r>
      <w:r>
        <w:rPr>
          <w:rFonts w:hint="eastAsia" w:ascii="宋体" w:hAnsi="宋体" w:eastAsia="宋体" w:cs="Times New Roman"/>
          <w:color w:val="auto"/>
          <w:highlight w:val="none"/>
          <w:lang w:eastAsia="zh-CN"/>
        </w:rPr>
        <w:t>3</w:t>
      </w:r>
      <w:r>
        <w:rPr>
          <w:rFonts w:hint="eastAsia" w:ascii="宋体" w:hAnsi="宋体" w:eastAsia="宋体" w:cs="Times New Roman"/>
          <w:color w:val="auto"/>
          <w:highlight w:val="none"/>
          <w:lang w:val="zh-CN" w:eastAsia="zh-CN"/>
        </w:rPr>
        <w:t>）透水铺装</w:t>
      </w:r>
    </w:p>
    <w:p w14:paraId="62B9E87B">
      <w:pPr>
        <w:adjustRightInd w:val="0"/>
        <w:spacing w:line="360" w:lineRule="auto"/>
        <w:ind w:firstLine="480" w:firstLineChars="200"/>
        <w:jc w:val="both"/>
        <w:rPr>
          <w:rFonts w:hint="eastAsia"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结合海绵城市设计理念，人行道采用透水砖路面结构、非机动车道采用透水混凝土铺面。</w:t>
      </w:r>
    </w:p>
    <w:p w14:paraId="13AF8CF8">
      <w:pPr>
        <w:adjustRightInd w:val="0"/>
        <w:spacing w:line="360" w:lineRule="auto"/>
        <w:ind w:firstLine="480" w:firstLineChars="200"/>
        <w:jc w:val="both"/>
        <w:rPr>
          <w:rFonts w:hint="eastAsia"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本项目透水路面面积共</w:t>
      </w:r>
      <w:r>
        <w:rPr>
          <w:rFonts w:hint="eastAsia" w:ascii="宋体" w:hAnsi="宋体" w:eastAsia="宋体" w:cs="Times New Roman"/>
          <w:color w:val="auto"/>
          <w:highlight w:val="none"/>
          <w:lang w:val="en-US" w:eastAsia="zh-CN"/>
        </w:rPr>
        <w:t>3686.51</w:t>
      </w:r>
      <w:r>
        <w:rPr>
          <w:rFonts w:hint="eastAsia" w:ascii="宋体" w:hAnsi="宋体" w:eastAsia="宋体" w:cs="Times New Roman"/>
          <w:color w:val="auto"/>
          <w:highlight w:val="none"/>
          <w:lang w:val="zh-CN" w:eastAsia="zh-CN"/>
        </w:rPr>
        <w:t>平方米。</w:t>
      </w:r>
    </w:p>
    <w:p w14:paraId="6FA2CF53">
      <w:pPr>
        <w:pStyle w:val="3"/>
        <w:bidi w:val="0"/>
        <w:rPr>
          <w:rFonts w:hint="eastAsia" w:eastAsia="宋体" w:cs="Times New Roman"/>
          <w:color w:val="auto"/>
          <w:highlight w:val="none"/>
          <w:lang w:val="en-US" w:eastAsia="zh-CN"/>
        </w:rPr>
      </w:pPr>
      <w:r>
        <w:rPr>
          <w:rFonts w:hint="eastAsia" w:eastAsia="宋体" w:cs="Times New Roman"/>
          <w:color w:val="auto"/>
          <w:highlight w:val="none"/>
          <w:lang w:val="en-US" w:eastAsia="zh-CN"/>
        </w:rPr>
        <w:t>下垫面分析</w:t>
      </w:r>
    </w:p>
    <w:p w14:paraId="14F37D6F">
      <w:pPr>
        <w:adjustRightInd w:val="0"/>
        <w:spacing w:line="360" w:lineRule="auto"/>
        <w:ind w:firstLine="482" w:firstLineChars="200"/>
        <w:jc w:val="both"/>
        <w:rPr>
          <w:rFonts w:hint="eastAsia" w:ascii="宋体" w:hAnsi="宋体" w:cs="宋体"/>
          <w:b/>
          <w:color w:val="auto"/>
          <w:sz w:val="24"/>
          <w:szCs w:val="24"/>
          <w:highlight w:val="none"/>
          <w:lang w:eastAsia="zh-CN"/>
        </w:rPr>
      </w:pPr>
      <w:r>
        <w:rPr>
          <w:rFonts w:hint="eastAsia" w:ascii="宋体" w:hAnsi="宋体" w:cs="宋体"/>
          <w:b/>
          <w:color w:val="auto"/>
          <w:sz w:val="24"/>
          <w:szCs w:val="24"/>
          <w:highlight w:val="none"/>
          <w:lang w:val="en-US" w:eastAsia="zh-CN"/>
        </w:rPr>
        <w:t>1</w:t>
      </w:r>
      <w:r>
        <w:rPr>
          <w:rFonts w:hint="eastAsia" w:ascii="宋体" w:hAnsi="宋体" w:cs="宋体"/>
          <w:b/>
          <w:color w:val="auto"/>
          <w:sz w:val="24"/>
          <w:szCs w:val="24"/>
          <w:highlight w:val="none"/>
          <w:lang w:eastAsia="zh-CN"/>
        </w:rPr>
        <w:t>）</w:t>
      </w:r>
      <w:r>
        <w:rPr>
          <w:rFonts w:hint="eastAsia" w:ascii="宋体" w:hAnsi="宋体" w:cs="宋体"/>
          <w:b/>
          <w:bCs/>
          <w:color w:val="auto"/>
          <w:sz w:val="24"/>
          <w:szCs w:val="24"/>
          <w:highlight w:val="none"/>
        </w:rPr>
        <w:t>径流系数</w:t>
      </w:r>
    </w:p>
    <w:p w14:paraId="28A5E574">
      <w:pPr>
        <w:adjustRightInd w:val="0"/>
        <w:spacing w:line="360" w:lineRule="auto"/>
        <w:ind w:firstLine="480" w:firstLineChars="200"/>
        <w:jc w:val="both"/>
        <w:rPr>
          <w:rFonts w:ascii="宋体" w:hAnsi="宋体"/>
          <w:color w:val="auto"/>
          <w:sz w:val="24"/>
          <w:szCs w:val="24"/>
          <w:highlight w:val="none"/>
          <w:lang w:eastAsia="zh-CN"/>
        </w:rPr>
      </w:pPr>
      <w:r>
        <w:rPr>
          <w:rFonts w:hint="eastAsia" w:ascii="宋体" w:hAnsi="宋体"/>
          <w:color w:val="auto"/>
          <w:sz w:val="24"/>
          <w:szCs w:val="24"/>
          <w:highlight w:val="none"/>
          <w:lang w:eastAsia="zh-CN"/>
        </w:rPr>
        <w:t>本项目用地红线面积</w:t>
      </w:r>
      <w:r>
        <w:rPr>
          <w:rFonts w:hint="eastAsia" w:ascii="宋体" w:hAnsi="宋体" w:cs="宋体"/>
          <w:color w:val="auto"/>
          <w:sz w:val="24"/>
          <w:szCs w:val="24"/>
          <w:highlight w:val="none"/>
          <w:lang w:val="en-US" w:eastAsia="zh-CN"/>
        </w:rPr>
        <w:t>17557.32</w:t>
      </w:r>
      <w:r>
        <w:rPr>
          <w:rFonts w:hint="eastAsia" w:ascii="宋体" w:hAnsi="宋体"/>
          <w:color w:val="auto"/>
          <w:sz w:val="24"/>
          <w:szCs w:val="24"/>
          <w:highlight w:val="none"/>
          <w:lang w:eastAsia="zh-CN"/>
        </w:rPr>
        <w:t>平方米，本工程下垫面解析详见下表，并根据径流系数取值表得出场地综合雨量径流系数。</w:t>
      </w:r>
    </w:p>
    <w:p w14:paraId="5344F619">
      <w:pPr>
        <w:adjustRightInd w:val="0"/>
        <w:snapToGrid w:val="0"/>
        <w:ind w:firstLine="422"/>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径流系数取值表</w:t>
      </w:r>
    </w:p>
    <w:tbl>
      <w:tblPr>
        <w:tblStyle w:val="17"/>
        <w:tblW w:w="4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5068"/>
        <w:gridCol w:w="3022"/>
      </w:tblGrid>
      <w:tr w14:paraId="7A01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3C8D39E4">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下垫面种类</w:t>
            </w:r>
          </w:p>
        </w:tc>
        <w:tc>
          <w:tcPr>
            <w:tcW w:w="1679" w:type="pct"/>
            <w:vAlign w:val="center"/>
          </w:tcPr>
          <w:p w14:paraId="76C64AB1">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雨量径流系数</w:t>
            </w:r>
          </w:p>
        </w:tc>
      </w:tr>
      <w:tr w14:paraId="7FE9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03" w:type="pct"/>
            <w:vMerge w:val="restart"/>
            <w:vAlign w:val="center"/>
          </w:tcPr>
          <w:p w14:paraId="1E56960F">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屋</w:t>
            </w:r>
          </w:p>
          <w:p w14:paraId="0261ABEA">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面</w:t>
            </w:r>
          </w:p>
        </w:tc>
        <w:tc>
          <w:tcPr>
            <w:tcW w:w="2817" w:type="pct"/>
            <w:vAlign w:val="center"/>
          </w:tcPr>
          <w:p w14:paraId="551DA9DD">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绿化屋面（基质层厚度≥300mm）</w:t>
            </w:r>
          </w:p>
        </w:tc>
        <w:tc>
          <w:tcPr>
            <w:tcW w:w="1679" w:type="pct"/>
            <w:vAlign w:val="center"/>
          </w:tcPr>
          <w:p w14:paraId="507175BF">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0.3~0.4</w:t>
            </w:r>
          </w:p>
        </w:tc>
      </w:tr>
      <w:tr w14:paraId="4136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03" w:type="pct"/>
            <w:vMerge w:val="continue"/>
            <w:vAlign w:val="center"/>
          </w:tcPr>
          <w:p w14:paraId="0C539DD0">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p>
        </w:tc>
        <w:tc>
          <w:tcPr>
            <w:tcW w:w="2817" w:type="pct"/>
            <w:vAlign w:val="center"/>
          </w:tcPr>
          <w:p w14:paraId="04E0B783">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硬屋面、未铺石子的平屋面、沥青屋面</w:t>
            </w:r>
          </w:p>
        </w:tc>
        <w:tc>
          <w:tcPr>
            <w:tcW w:w="1679" w:type="pct"/>
            <w:vAlign w:val="center"/>
          </w:tcPr>
          <w:p w14:paraId="6C3140CD">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0.8~0.9</w:t>
            </w:r>
          </w:p>
        </w:tc>
      </w:tr>
      <w:tr w14:paraId="7E06E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03" w:type="pct"/>
            <w:vMerge w:val="continue"/>
            <w:vAlign w:val="center"/>
          </w:tcPr>
          <w:p w14:paraId="56BDF48C">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p>
        </w:tc>
        <w:tc>
          <w:tcPr>
            <w:tcW w:w="2817" w:type="pct"/>
            <w:vAlign w:val="center"/>
          </w:tcPr>
          <w:p w14:paraId="138B8887">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铺石子的平屋面</w:t>
            </w:r>
          </w:p>
        </w:tc>
        <w:tc>
          <w:tcPr>
            <w:tcW w:w="1679" w:type="pct"/>
            <w:vAlign w:val="center"/>
          </w:tcPr>
          <w:p w14:paraId="485F79AF">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0.6~0.7</w:t>
            </w:r>
          </w:p>
        </w:tc>
      </w:tr>
      <w:tr w14:paraId="7701C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273F53E9">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混凝土或沥青路面及广场</w:t>
            </w:r>
          </w:p>
        </w:tc>
        <w:tc>
          <w:tcPr>
            <w:tcW w:w="1679" w:type="pct"/>
            <w:vAlign w:val="center"/>
          </w:tcPr>
          <w:p w14:paraId="6408AAD9">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0.8~0.9</w:t>
            </w:r>
          </w:p>
        </w:tc>
      </w:tr>
      <w:tr w14:paraId="5D3C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63C77F04">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大块石铺砌路面及广场</w:t>
            </w:r>
          </w:p>
        </w:tc>
        <w:tc>
          <w:tcPr>
            <w:tcW w:w="1679" w:type="pct"/>
            <w:vAlign w:val="center"/>
          </w:tcPr>
          <w:p w14:paraId="261D626C">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0.5~0.6</w:t>
            </w:r>
          </w:p>
        </w:tc>
      </w:tr>
      <w:tr w14:paraId="65FF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781CB6E7">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沥青表面处理的碎石路面及广场</w:t>
            </w:r>
          </w:p>
        </w:tc>
        <w:tc>
          <w:tcPr>
            <w:tcW w:w="1679" w:type="pct"/>
            <w:vAlign w:val="center"/>
          </w:tcPr>
          <w:p w14:paraId="118453A0">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0.45~0.55</w:t>
            </w:r>
          </w:p>
        </w:tc>
      </w:tr>
      <w:tr w14:paraId="3795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17C55E00">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级配碎石路面及广场</w:t>
            </w:r>
          </w:p>
        </w:tc>
        <w:tc>
          <w:tcPr>
            <w:tcW w:w="1679" w:type="pct"/>
            <w:vAlign w:val="center"/>
          </w:tcPr>
          <w:p w14:paraId="0A146DD5">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0.4</w:t>
            </w:r>
          </w:p>
        </w:tc>
      </w:tr>
      <w:tr w14:paraId="2815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47EC444B">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干砌砖石或碎石路面及广场</w:t>
            </w:r>
          </w:p>
        </w:tc>
        <w:tc>
          <w:tcPr>
            <w:tcW w:w="1679" w:type="pct"/>
            <w:vAlign w:val="center"/>
          </w:tcPr>
          <w:p w14:paraId="27029BDE">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0.4</w:t>
            </w:r>
          </w:p>
        </w:tc>
      </w:tr>
      <w:tr w14:paraId="1AFE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0CA0E462">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非铺砌的土路面</w:t>
            </w:r>
          </w:p>
        </w:tc>
        <w:tc>
          <w:tcPr>
            <w:tcW w:w="1679" w:type="pct"/>
            <w:vAlign w:val="center"/>
          </w:tcPr>
          <w:p w14:paraId="4FC05A86">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0.3</w:t>
            </w:r>
          </w:p>
        </w:tc>
      </w:tr>
      <w:tr w14:paraId="6E90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124CB766">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绿地</w:t>
            </w:r>
          </w:p>
        </w:tc>
        <w:tc>
          <w:tcPr>
            <w:tcW w:w="1679" w:type="pct"/>
            <w:vAlign w:val="center"/>
          </w:tcPr>
          <w:p w14:paraId="2C6D737C">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0.15</w:t>
            </w:r>
          </w:p>
        </w:tc>
      </w:tr>
      <w:tr w14:paraId="584F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0119992A">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水面</w:t>
            </w:r>
          </w:p>
        </w:tc>
        <w:tc>
          <w:tcPr>
            <w:tcW w:w="1679" w:type="pct"/>
            <w:vAlign w:val="center"/>
          </w:tcPr>
          <w:p w14:paraId="198277A9">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1.00</w:t>
            </w:r>
          </w:p>
        </w:tc>
      </w:tr>
      <w:tr w14:paraId="0080B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46C4289F">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地下室覆土绿地（≥500mm）</w:t>
            </w:r>
          </w:p>
        </w:tc>
        <w:tc>
          <w:tcPr>
            <w:tcW w:w="1679" w:type="pct"/>
            <w:vAlign w:val="center"/>
          </w:tcPr>
          <w:p w14:paraId="0EA7992F">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0.15</w:t>
            </w:r>
          </w:p>
        </w:tc>
      </w:tr>
      <w:tr w14:paraId="2248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364B331C">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地下室覆土绿地（＜500mm）</w:t>
            </w:r>
          </w:p>
        </w:tc>
        <w:tc>
          <w:tcPr>
            <w:tcW w:w="1679" w:type="pct"/>
            <w:vAlign w:val="center"/>
          </w:tcPr>
          <w:p w14:paraId="4B07043C">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0.3~0.4</w:t>
            </w:r>
          </w:p>
        </w:tc>
      </w:tr>
      <w:tr w14:paraId="522C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121052B9">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透水铺装地面</w:t>
            </w:r>
          </w:p>
        </w:tc>
        <w:tc>
          <w:tcPr>
            <w:tcW w:w="1679" w:type="pct"/>
            <w:vAlign w:val="center"/>
          </w:tcPr>
          <w:p w14:paraId="7E844BFB">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0.08~0.45</w:t>
            </w:r>
          </w:p>
        </w:tc>
      </w:tr>
      <w:tr w14:paraId="5AB8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3320" w:type="pct"/>
            <w:gridSpan w:val="2"/>
            <w:vAlign w:val="center"/>
          </w:tcPr>
          <w:p w14:paraId="4D741FB6">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下沉式广场（50年及以上一遇）</w:t>
            </w:r>
          </w:p>
        </w:tc>
        <w:tc>
          <w:tcPr>
            <w:tcW w:w="1679" w:type="pct"/>
            <w:vAlign w:val="center"/>
          </w:tcPr>
          <w:p w14:paraId="294FD708">
            <w:pPr>
              <w:keepNext w:val="0"/>
              <w:keepLines w:val="0"/>
              <w:widowControl/>
              <w:suppressLineNumbers w:val="0"/>
              <w:adjustRightInd w:val="0"/>
              <w:snapToGrid w:val="0"/>
              <w:spacing w:before="0" w:beforeAutospacing="0" w:after="0" w:afterAutospacing="0"/>
              <w:ind w:left="0" w:right="0" w:firstLine="420"/>
              <w:jc w:val="both"/>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r>
    </w:tbl>
    <w:p w14:paraId="5AF005CA">
      <w:pPr>
        <w:adjustRightInd w:val="0"/>
        <w:spacing w:line="360" w:lineRule="auto"/>
        <w:ind w:firstLine="480" w:firstLineChars="200"/>
        <w:jc w:val="both"/>
        <w:rPr>
          <w:rFonts w:hint="eastAsia"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注：以上数据参照《室外排水设计</w:t>
      </w:r>
      <w:r>
        <w:rPr>
          <w:rFonts w:hint="eastAsia" w:ascii="宋体" w:hAnsi="宋体" w:cs="Times New Roman"/>
          <w:color w:val="auto"/>
          <w:highlight w:val="none"/>
          <w:lang w:val="en-US" w:eastAsia="zh-CN"/>
        </w:rPr>
        <w:t>标准</w:t>
      </w:r>
      <w:r>
        <w:rPr>
          <w:rFonts w:hint="eastAsia" w:ascii="宋体" w:hAnsi="宋体" w:eastAsia="宋体" w:cs="Times New Roman"/>
          <w:color w:val="auto"/>
          <w:highlight w:val="none"/>
          <w:lang w:val="zh-CN" w:eastAsia="zh-CN"/>
        </w:rPr>
        <w:t>》（GB50014</w:t>
      </w:r>
      <w:r>
        <w:rPr>
          <w:rFonts w:hint="eastAsia" w:ascii="宋体" w:hAnsi="宋体" w:cs="Times New Roman"/>
          <w:color w:val="auto"/>
          <w:highlight w:val="none"/>
          <w:lang w:val="en-US" w:eastAsia="zh-CN"/>
        </w:rPr>
        <w:t>-2021</w:t>
      </w:r>
      <w:r>
        <w:rPr>
          <w:rFonts w:hint="eastAsia" w:ascii="宋体" w:hAnsi="宋体" w:eastAsia="宋体" w:cs="Times New Roman"/>
          <w:color w:val="auto"/>
          <w:highlight w:val="none"/>
          <w:lang w:val="zh-CN" w:eastAsia="zh-CN"/>
        </w:rPr>
        <w:t>）</w:t>
      </w:r>
      <w:r>
        <w:rPr>
          <w:rFonts w:hint="eastAsia" w:ascii="宋体" w:hAnsi="宋体" w:cs="Times New Roman"/>
          <w:color w:val="auto"/>
          <w:highlight w:val="none"/>
          <w:lang w:val="en-US" w:eastAsia="zh-CN"/>
        </w:rPr>
        <w:t>和</w:t>
      </w:r>
      <w:r>
        <w:rPr>
          <w:rFonts w:hint="eastAsia" w:ascii="宋体" w:hAnsi="宋体"/>
          <w:sz w:val="24"/>
          <w:highlight w:val="none"/>
          <w:lang w:val="en-US" w:eastAsia="zh-CN"/>
        </w:rPr>
        <w:t>《海绵城市雨水控制与利用工程设计规范》（DB11/ 685-2021）</w:t>
      </w:r>
      <w:r>
        <w:rPr>
          <w:rFonts w:hint="eastAsia" w:ascii="宋体" w:hAnsi="宋体" w:eastAsia="宋体" w:cs="Times New Roman"/>
          <w:color w:val="auto"/>
          <w:highlight w:val="none"/>
          <w:lang w:val="zh-CN" w:eastAsia="zh-CN"/>
        </w:rPr>
        <w:t>选定雨量径流系数取值后，运用汇水面积加权平均法计算两汇水分区综合雨量径流系数，计算结果如上表所示，计算公式如下：</w:t>
      </w:r>
    </w:p>
    <w:p w14:paraId="4CA9E1DC">
      <w:pPr>
        <w:adjustRightInd w:val="0"/>
        <w:spacing w:line="360" w:lineRule="auto"/>
        <w:ind w:firstLine="480" w:firstLineChars="200"/>
        <w:jc w:val="both"/>
        <w:rPr>
          <w:rFonts w:hint="eastAsia"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 xml:space="preserve">φ=（φ硬质屋顶*F硬质屋顶+φ绿化*F绿化+φ不透水铺装*F不透水铺装+φ透水铺装*F透水铺装+……）/（F硬质屋顶+ F绿化+ F不透水铺装+ F透水铺装+ ……）    </w:t>
      </w:r>
    </w:p>
    <w:p w14:paraId="2F15FECF">
      <w:pPr>
        <w:adjustRightInd w:val="0"/>
        <w:spacing w:line="360" w:lineRule="auto"/>
        <w:ind w:firstLine="480" w:firstLineChars="200"/>
        <w:jc w:val="both"/>
        <w:rPr>
          <w:rFonts w:hint="eastAsia"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式中：φxx——XX汇水面的雨量径流系数；</w:t>
      </w:r>
    </w:p>
    <w:p w14:paraId="09D68F6A">
      <w:pPr>
        <w:adjustRightInd w:val="0"/>
        <w:spacing w:line="360" w:lineRule="auto"/>
        <w:ind w:firstLine="480" w:firstLineChars="200"/>
        <w:jc w:val="both"/>
        <w:rPr>
          <w:rFonts w:hint="eastAsia"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Fxx——XX汇水面的面积，m</w:t>
      </w:r>
      <w:r>
        <w:rPr>
          <w:rFonts w:hint="eastAsia" w:ascii="宋体" w:hAnsi="宋体" w:eastAsia="宋体" w:cs="Times New Roman"/>
          <w:color w:val="auto"/>
          <w:sz w:val="24"/>
          <w:highlight w:val="none"/>
          <w:vertAlign w:val="superscript"/>
          <w:lang w:val="zh-CN" w:eastAsia="zh-CN"/>
        </w:rPr>
        <w:t>2</w:t>
      </w:r>
      <w:r>
        <w:rPr>
          <w:rFonts w:hint="eastAsia" w:ascii="宋体" w:hAnsi="宋体" w:eastAsia="宋体" w:cs="Times New Roman"/>
          <w:color w:val="auto"/>
          <w:highlight w:val="none"/>
          <w:lang w:val="zh-CN" w:eastAsia="zh-CN"/>
        </w:rPr>
        <w:t>。</w:t>
      </w:r>
    </w:p>
    <w:p w14:paraId="66C49A58">
      <w:pPr>
        <w:adjustRightInd w:val="0"/>
        <w:spacing w:line="360" w:lineRule="auto"/>
        <w:ind w:firstLine="480" w:firstLineChars="200"/>
        <w:jc w:val="both"/>
        <w:rPr>
          <w:rFonts w:hint="default"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汇水范围内各下垫面径流系数取值如下表：</w:t>
      </w:r>
    </w:p>
    <w:p w14:paraId="1B000A85">
      <w:pPr>
        <w:adjustRightInd w:val="0"/>
        <w:spacing w:line="360" w:lineRule="auto"/>
        <w:ind w:firstLine="480" w:firstLineChars="200"/>
        <w:jc w:val="center"/>
        <w:rPr>
          <w:rFonts w:hint="default" w:ascii="宋体" w:hAnsi="宋体" w:eastAsia="宋体" w:cs="Times New Roman"/>
          <w:color w:val="auto"/>
          <w:highlight w:val="none"/>
          <w:lang w:val="zh-CN" w:eastAsia="zh-CN"/>
        </w:rPr>
      </w:pPr>
      <w:r>
        <w:rPr>
          <w:rFonts w:hint="eastAsia" w:ascii="宋体" w:hAnsi="宋体" w:eastAsia="宋体" w:cs="Times New Roman"/>
          <w:color w:val="auto"/>
          <w:highlight w:val="none"/>
          <w:lang w:val="zh-CN" w:eastAsia="zh-CN"/>
        </w:rPr>
        <w:t>表1  汇水范围内各下垫面径流系数取值表</w:t>
      </w:r>
    </w:p>
    <w:tbl>
      <w:tblPr>
        <w:tblStyle w:val="17"/>
        <w:tblW w:w="47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4"/>
        <w:gridCol w:w="5189"/>
        <w:gridCol w:w="2039"/>
      </w:tblGrid>
      <w:tr w14:paraId="78D71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1379" w:type="pct"/>
            <w:vAlign w:val="center"/>
          </w:tcPr>
          <w:p w14:paraId="03217ECE">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下垫面归类</w:t>
            </w:r>
          </w:p>
        </w:tc>
        <w:tc>
          <w:tcPr>
            <w:tcW w:w="2598" w:type="pct"/>
            <w:vAlign w:val="center"/>
          </w:tcPr>
          <w:p w14:paraId="00B28044">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下垫面种类</w:t>
            </w:r>
          </w:p>
        </w:tc>
        <w:tc>
          <w:tcPr>
            <w:tcW w:w="1021" w:type="pct"/>
            <w:vAlign w:val="center"/>
          </w:tcPr>
          <w:p w14:paraId="45D0E847">
            <w:pPr>
              <w:keepNext w:val="0"/>
              <w:keepLines w:val="0"/>
              <w:widowControl/>
              <w:suppressLineNumbers w:val="0"/>
              <w:spacing w:before="0" w:beforeAutospacing="0" w:after="0" w:afterAutospacing="0"/>
              <w:ind w:left="0" w:right="0"/>
              <w:jc w:val="both"/>
              <w:rPr>
                <w:rFonts w:hint="default" w:ascii="宋体" w:hAnsi="宋体" w:cs="宋体"/>
                <w:color w:val="auto"/>
                <w:sz w:val="21"/>
                <w:szCs w:val="21"/>
                <w:highlight w:val="none"/>
                <w:vertAlign w:val="subscript"/>
              </w:rPr>
            </w:pPr>
            <w:r>
              <w:rPr>
                <w:rFonts w:hint="eastAsia" w:ascii="宋体" w:hAnsi="宋体" w:cs="宋体"/>
                <w:bCs/>
                <w:color w:val="auto"/>
                <w:sz w:val="21"/>
                <w:szCs w:val="21"/>
                <w:highlight w:val="none"/>
              </w:rPr>
              <w:t>计算取值</w:t>
            </w:r>
          </w:p>
        </w:tc>
      </w:tr>
      <w:tr w14:paraId="3EF0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restart"/>
            <w:vAlign w:val="center"/>
          </w:tcPr>
          <w:p w14:paraId="50221A23">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非渗透路面</w:t>
            </w:r>
          </w:p>
        </w:tc>
        <w:tc>
          <w:tcPr>
            <w:tcW w:w="2598" w:type="pct"/>
            <w:vAlign w:val="center"/>
          </w:tcPr>
          <w:p w14:paraId="4BBAB6E2">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硬屋面、沥青屋面、未铺石子的屋面</w:t>
            </w:r>
          </w:p>
        </w:tc>
        <w:tc>
          <w:tcPr>
            <w:tcW w:w="1021" w:type="pct"/>
            <w:vAlign w:val="center"/>
          </w:tcPr>
          <w:p w14:paraId="298FA068">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0.85</w:t>
            </w:r>
          </w:p>
        </w:tc>
      </w:tr>
      <w:tr w14:paraId="452B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31C6DA57">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036B1CF9">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混凝土和沥青路面</w:t>
            </w:r>
          </w:p>
        </w:tc>
        <w:tc>
          <w:tcPr>
            <w:tcW w:w="1021" w:type="pct"/>
            <w:vAlign w:val="center"/>
          </w:tcPr>
          <w:p w14:paraId="53A43157">
            <w:pPr>
              <w:keepNext w:val="0"/>
              <w:keepLines w:val="0"/>
              <w:widowControl/>
              <w:suppressLineNumbers w:val="0"/>
              <w:spacing w:before="0" w:beforeAutospacing="0" w:after="0" w:afterAutospacing="0"/>
              <w:ind w:left="0" w:right="0"/>
              <w:jc w:val="both"/>
              <w:rPr>
                <w:rFonts w:hint="eastAsia"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rPr>
              <w:t>0.9</w:t>
            </w:r>
            <w:r>
              <w:rPr>
                <w:rFonts w:hint="eastAsia" w:ascii="宋体" w:hAnsi="宋体" w:cs="宋体"/>
                <w:bCs/>
                <w:color w:val="auto"/>
                <w:sz w:val="21"/>
                <w:szCs w:val="21"/>
                <w:highlight w:val="none"/>
                <w:lang w:val="en-US" w:eastAsia="zh-CN"/>
              </w:rPr>
              <w:t>0</w:t>
            </w:r>
          </w:p>
        </w:tc>
      </w:tr>
      <w:tr w14:paraId="0DD17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0F262D57">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0EC3EEF0">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铺石子的平屋面</w:t>
            </w:r>
          </w:p>
        </w:tc>
        <w:tc>
          <w:tcPr>
            <w:tcW w:w="1021" w:type="pct"/>
            <w:vAlign w:val="center"/>
          </w:tcPr>
          <w:p w14:paraId="64A8D2A3">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0.90</w:t>
            </w:r>
          </w:p>
        </w:tc>
      </w:tr>
      <w:tr w14:paraId="0681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7DEB001D">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2AEA42A7">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大块石铺砌路面或沥青表面处理的碎石路面</w:t>
            </w:r>
          </w:p>
        </w:tc>
        <w:tc>
          <w:tcPr>
            <w:tcW w:w="1021" w:type="pct"/>
            <w:vAlign w:val="center"/>
          </w:tcPr>
          <w:p w14:paraId="724C1569">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0.60</w:t>
            </w:r>
          </w:p>
        </w:tc>
      </w:tr>
      <w:tr w14:paraId="6D1B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28BE88A6">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5C8EA458">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村庄用地</w:t>
            </w:r>
          </w:p>
        </w:tc>
        <w:tc>
          <w:tcPr>
            <w:tcW w:w="1021" w:type="pct"/>
            <w:vAlign w:val="center"/>
          </w:tcPr>
          <w:p w14:paraId="59DF54FB">
            <w:pPr>
              <w:keepNext w:val="0"/>
              <w:keepLines w:val="0"/>
              <w:widowControl/>
              <w:suppressLineNumbers w:val="0"/>
              <w:spacing w:before="0" w:beforeAutospacing="0" w:after="0" w:afterAutospacing="0"/>
              <w:ind w:left="0" w:right="0"/>
              <w:jc w:val="both"/>
              <w:rPr>
                <w:rFonts w:hint="eastAsia"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rPr>
              <w:t>0.6</w:t>
            </w:r>
            <w:r>
              <w:rPr>
                <w:rFonts w:hint="eastAsia" w:ascii="宋体" w:hAnsi="宋体" w:cs="宋体"/>
                <w:bCs/>
                <w:color w:val="auto"/>
                <w:sz w:val="21"/>
                <w:szCs w:val="21"/>
                <w:highlight w:val="none"/>
                <w:lang w:val="en-US" w:eastAsia="zh-CN"/>
              </w:rPr>
              <w:t>0</w:t>
            </w:r>
          </w:p>
        </w:tc>
      </w:tr>
      <w:tr w14:paraId="3E35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073926F6">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640D9A4C">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水面</w:t>
            </w:r>
          </w:p>
        </w:tc>
        <w:tc>
          <w:tcPr>
            <w:tcW w:w="1021" w:type="pct"/>
            <w:vAlign w:val="center"/>
          </w:tcPr>
          <w:p w14:paraId="6A1B9AE2">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1</w:t>
            </w:r>
          </w:p>
        </w:tc>
      </w:tr>
      <w:tr w14:paraId="5474F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restart"/>
            <w:vAlign w:val="center"/>
          </w:tcPr>
          <w:p w14:paraId="6D444635">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p w14:paraId="4F85630C">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可渗透路面</w:t>
            </w:r>
          </w:p>
        </w:tc>
        <w:tc>
          <w:tcPr>
            <w:tcW w:w="2598" w:type="pct"/>
            <w:vAlign w:val="center"/>
          </w:tcPr>
          <w:p w14:paraId="50BD5E30">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干砌砖石或碎石路面</w:t>
            </w:r>
          </w:p>
        </w:tc>
        <w:tc>
          <w:tcPr>
            <w:tcW w:w="1021" w:type="pct"/>
            <w:vAlign w:val="center"/>
          </w:tcPr>
          <w:p w14:paraId="32D88992">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0.38</w:t>
            </w:r>
          </w:p>
        </w:tc>
      </w:tr>
      <w:tr w14:paraId="1715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519CAE76">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602DD4E5">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级配碎石路面</w:t>
            </w:r>
          </w:p>
        </w:tc>
        <w:tc>
          <w:tcPr>
            <w:tcW w:w="1021" w:type="pct"/>
            <w:vAlign w:val="center"/>
          </w:tcPr>
          <w:p w14:paraId="1DAA0460">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0.40</w:t>
            </w:r>
          </w:p>
        </w:tc>
      </w:tr>
      <w:tr w14:paraId="2D7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6DC8B54D">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2D3130FF">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非铺砌的土路面</w:t>
            </w:r>
          </w:p>
        </w:tc>
        <w:tc>
          <w:tcPr>
            <w:tcW w:w="1021" w:type="pct"/>
            <w:vAlign w:val="center"/>
          </w:tcPr>
          <w:p w14:paraId="2122CAEC">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0.30</w:t>
            </w:r>
          </w:p>
        </w:tc>
      </w:tr>
      <w:tr w14:paraId="19774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7B97F684">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61A43E1A">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透水性人行道及非机动车道</w:t>
            </w:r>
          </w:p>
        </w:tc>
        <w:tc>
          <w:tcPr>
            <w:tcW w:w="1021" w:type="pct"/>
            <w:vAlign w:val="center"/>
          </w:tcPr>
          <w:p w14:paraId="006777A9">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0.30</w:t>
            </w:r>
          </w:p>
        </w:tc>
      </w:tr>
      <w:tr w14:paraId="53BE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5D356DE2">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55815FE2">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渗透铺装地面</w:t>
            </w:r>
          </w:p>
        </w:tc>
        <w:tc>
          <w:tcPr>
            <w:tcW w:w="1021" w:type="pct"/>
            <w:vAlign w:val="center"/>
          </w:tcPr>
          <w:p w14:paraId="742F64FE">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rPr>
              <w:t>0.</w:t>
            </w:r>
            <w:r>
              <w:rPr>
                <w:rFonts w:hint="eastAsia" w:ascii="宋体" w:hAnsi="宋体" w:cs="宋体"/>
                <w:bCs/>
                <w:color w:val="auto"/>
                <w:sz w:val="21"/>
                <w:szCs w:val="21"/>
                <w:highlight w:val="none"/>
                <w:lang w:eastAsia="zh-CN"/>
              </w:rPr>
              <w:t>20</w:t>
            </w:r>
          </w:p>
        </w:tc>
      </w:tr>
      <w:tr w14:paraId="3645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1BA229A3">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p>
        </w:tc>
        <w:tc>
          <w:tcPr>
            <w:tcW w:w="2598" w:type="pct"/>
            <w:vAlign w:val="center"/>
          </w:tcPr>
          <w:p w14:paraId="42E9ECCC">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农田用地</w:t>
            </w:r>
          </w:p>
        </w:tc>
        <w:tc>
          <w:tcPr>
            <w:tcW w:w="1021" w:type="pct"/>
            <w:vAlign w:val="center"/>
          </w:tcPr>
          <w:p w14:paraId="61093A82">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0.25</w:t>
            </w:r>
          </w:p>
        </w:tc>
      </w:tr>
      <w:tr w14:paraId="73E0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restart"/>
            <w:vAlign w:val="center"/>
          </w:tcPr>
          <w:p w14:paraId="6E88EDB3">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rPr>
            </w:pPr>
            <w:r>
              <w:rPr>
                <w:rFonts w:hint="eastAsia" w:ascii="宋体" w:hAnsi="宋体" w:cs="宋体"/>
                <w:bCs/>
                <w:color w:val="auto"/>
                <w:sz w:val="21"/>
                <w:szCs w:val="21"/>
                <w:highlight w:val="none"/>
              </w:rPr>
              <w:t>绿地</w:t>
            </w:r>
          </w:p>
        </w:tc>
        <w:tc>
          <w:tcPr>
            <w:tcW w:w="2598" w:type="pct"/>
            <w:vAlign w:val="center"/>
          </w:tcPr>
          <w:p w14:paraId="24F3211E">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绿地或下沉式（下凹式）绿地</w:t>
            </w:r>
          </w:p>
        </w:tc>
        <w:tc>
          <w:tcPr>
            <w:tcW w:w="1021" w:type="pct"/>
            <w:vAlign w:val="center"/>
          </w:tcPr>
          <w:p w14:paraId="02AB48F5">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0.15</w:t>
            </w:r>
          </w:p>
        </w:tc>
      </w:tr>
      <w:tr w14:paraId="2619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0A87DA48">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p>
        </w:tc>
        <w:tc>
          <w:tcPr>
            <w:tcW w:w="2598" w:type="pct"/>
            <w:vAlign w:val="center"/>
          </w:tcPr>
          <w:p w14:paraId="0FD2BEE1">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绿化屋面</w:t>
            </w:r>
          </w:p>
        </w:tc>
        <w:tc>
          <w:tcPr>
            <w:tcW w:w="1021" w:type="pct"/>
          </w:tcPr>
          <w:p w14:paraId="3D54874B">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0.30</w:t>
            </w:r>
          </w:p>
        </w:tc>
      </w:tr>
      <w:tr w14:paraId="28809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5AE4B630">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p>
        </w:tc>
        <w:tc>
          <w:tcPr>
            <w:tcW w:w="2598" w:type="pct"/>
            <w:vAlign w:val="center"/>
          </w:tcPr>
          <w:p w14:paraId="04C61BBF">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植被草沟</w:t>
            </w:r>
          </w:p>
        </w:tc>
        <w:tc>
          <w:tcPr>
            <w:tcW w:w="1021" w:type="pct"/>
          </w:tcPr>
          <w:p w14:paraId="48F5203E">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0.15</w:t>
            </w:r>
          </w:p>
        </w:tc>
      </w:tr>
      <w:tr w14:paraId="4005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Merge w:val="continue"/>
            <w:vAlign w:val="center"/>
          </w:tcPr>
          <w:p w14:paraId="3ED7B6F6">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p>
        </w:tc>
        <w:tc>
          <w:tcPr>
            <w:tcW w:w="2598" w:type="pct"/>
            <w:vAlign w:val="center"/>
          </w:tcPr>
          <w:p w14:paraId="5293266B">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雨水花园</w:t>
            </w:r>
          </w:p>
        </w:tc>
        <w:tc>
          <w:tcPr>
            <w:tcW w:w="1021" w:type="pct"/>
          </w:tcPr>
          <w:p w14:paraId="5131F2A4">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0.15</w:t>
            </w:r>
          </w:p>
        </w:tc>
      </w:tr>
      <w:tr w14:paraId="753F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9" w:type="pct"/>
            <w:vAlign w:val="center"/>
          </w:tcPr>
          <w:p w14:paraId="4E20F644">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合计</w:t>
            </w:r>
          </w:p>
        </w:tc>
        <w:tc>
          <w:tcPr>
            <w:tcW w:w="2598" w:type="pct"/>
            <w:vAlign w:val="center"/>
          </w:tcPr>
          <w:p w14:paraId="7DB9B63A">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p>
        </w:tc>
        <w:tc>
          <w:tcPr>
            <w:tcW w:w="1021" w:type="pct"/>
            <w:vAlign w:val="center"/>
          </w:tcPr>
          <w:p w14:paraId="5F0B91ED">
            <w:pPr>
              <w:keepNext w:val="0"/>
              <w:keepLines w:val="0"/>
              <w:widowControl/>
              <w:suppressLineNumbers w:val="0"/>
              <w:spacing w:before="0" w:beforeAutospacing="0" w:after="0" w:afterAutospacing="0"/>
              <w:ind w:left="0" w:right="0"/>
              <w:jc w:val="both"/>
              <w:rPr>
                <w:rFonts w:hint="default" w:ascii="宋体" w:hAnsi="宋体" w:cs="宋体"/>
                <w:bCs/>
                <w:color w:val="auto"/>
                <w:sz w:val="21"/>
                <w:szCs w:val="21"/>
                <w:highlight w:val="none"/>
                <w:lang w:eastAsia="zh-CN"/>
              </w:rPr>
            </w:pPr>
          </w:p>
        </w:tc>
      </w:tr>
    </w:tbl>
    <w:p w14:paraId="59786926">
      <w:pPr>
        <w:pStyle w:val="40"/>
        <w:keepNext w:val="0"/>
        <w:keepLines w:val="0"/>
        <w:widowControl/>
        <w:suppressLineNumbers w:val="0"/>
        <w:spacing w:before="0" w:beforeAutospacing="0" w:after="0" w:afterAutospacing="0" w:line="360" w:lineRule="auto"/>
        <w:ind w:left="0" w:leftChars="0" w:right="0" w:firstLine="0" w:firstLineChars="0"/>
        <w:jc w:val="both"/>
        <w:rPr>
          <w:rFonts w:hint="default" w:ascii="宋体" w:hAnsi="宋体" w:cs="宋体"/>
          <w:b/>
          <w:color w:val="auto"/>
          <w:sz w:val="21"/>
          <w:szCs w:val="21"/>
          <w:highlight w:val="none"/>
          <w:lang w:eastAsia="zh-CN"/>
        </w:rPr>
      </w:pPr>
    </w:p>
    <w:p w14:paraId="0DF74BD5">
      <w:pPr>
        <w:pStyle w:val="40"/>
        <w:keepNext w:val="0"/>
        <w:keepLines w:val="0"/>
        <w:widowControl/>
        <w:suppressLineNumbers w:val="0"/>
        <w:spacing w:before="0" w:beforeAutospacing="0" w:after="0" w:afterAutospacing="0" w:line="360" w:lineRule="auto"/>
        <w:ind w:left="0" w:leftChars="0" w:right="0" w:firstLine="0" w:firstLineChars="0"/>
        <w:jc w:val="both"/>
        <w:rPr>
          <w:rFonts w:hint="default"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2）建设前综合径流系数计算</w:t>
      </w:r>
    </w:p>
    <w:p w14:paraId="33A4599E">
      <w:pPr>
        <w:pStyle w:val="40"/>
        <w:keepNext w:val="0"/>
        <w:keepLines w:val="0"/>
        <w:widowControl/>
        <w:suppressLineNumbers w:val="0"/>
        <w:spacing w:before="0" w:beforeAutospacing="0" w:after="0" w:afterAutospacing="0" w:line="360" w:lineRule="auto"/>
        <w:ind w:left="118" w:leftChars="49" w:right="0" w:firstLine="0" w:firstLineChars="0"/>
        <w:jc w:val="both"/>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建设前下垫面统计结果如下表：</w:t>
      </w:r>
    </w:p>
    <w:p w14:paraId="3B7223B4">
      <w:pPr>
        <w:pStyle w:val="40"/>
        <w:keepNext w:val="0"/>
        <w:keepLines w:val="0"/>
        <w:widowControl/>
        <w:suppressLineNumbers w:val="0"/>
        <w:spacing w:before="0" w:beforeAutospacing="0" w:after="0" w:afterAutospacing="0" w:line="360" w:lineRule="auto"/>
        <w:ind w:left="118" w:leftChars="49" w:right="0" w:firstLine="0" w:firstLineChars="0"/>
        <w:jc w:val="both"/>
        <w:rPr>
          <w:rFonts w:hint="default" w:ascii="宋体" w:hAnsi="宋体" w:cs="宋体"/>
          <w:color w:val="auto"/>
          <w:sz w:val="24"/>
          <w:szCs w:val="24"/>
          <w:highlight w:val="none"/>
          <w:lang w:eastAsia="zh-CN"/>
        </w:rPr>
      </w:pPr>
    </w:p>
    <w:p w14:paraId="5EF62B63">
      <w:pPr>
        <w:pStyle w:val="40"/>
        <w:keepNext w:val="0"/>
        <w:keepLines w:val="0"/>
        <w:widowControl/>
        <w:suppressLineNumbers w:val="0"/>
        <w:spacing w:before="0" w:beforeAutospacing="0" w:after="0" w:afterAutospacing="0" w:line="360" w:lineRule="auto"/>
        <w:ind w:left="110" w:right="0" w:firstLine="0" w:firstLineChars="0"/>
        <w:jc w:val="center"/>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表2 建设前下垫面面积统计</w:t>
      </w:r>
    </w:p>
    <w:tbl>
      <w:tblPr>
        <w:tblStyle w:val="17"/>
        <w:tblW w:w="37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5"/>
        <w:gridCol w:w="2865"/>
        <w:gridCol w:w="2650"/>
      </w:tblGrid>
      <w:tr w14:paraId="4330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2" w:type="pct"/>
            <w:vAlign w:val="center"/>
          </w:tcPr>
          <w:p w14:paraId="2DC840BF">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下垫面种类</w:t>
            </w:r>
          </w:p>
        </w:tc>
        <w:tc>
          <w:tcPr>
            <w:tcW w:w="1806" w:type="pct"/>
            <w:vAlign w:val="bottom"/>
          </w:tcPr>
          <w:p w14:paraId="08914E46">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面积（m2）</w:t>
            </w:r>
          </w:p>
        </w:tc>
        <w:tc>
          <w:tcPr>
            <w:tcW w:w="1670" w:type="pct"/>
          </w:tcPr>
          <w:p w14:paraId="1334CA95">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径流系数取值</w:t>
            </w:r>
          </w:p>
        </w:tc>
      </w:tr>
      <w:tr w14:paraId="07FB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2" w:type="pct"/>
            <w:vAlign w:val="center"/>
          </w:tcPr>
          <w:p w14:paraId="10B6E9B4">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土路面</w:t>
            </w:r>
          </w:p>
        </w:tc>
        <w:tc>
          <w:tcPr>
            <w:tcW w:w="1806" w:type="pct"/>
            <w:vAlign w:val="center"/>
          </w:tcPr>
          <w:p w14:paraId="4488DFEA">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2700.12</w:t>
            </w:r>
          </w:p>
        </w:tc>
        <w:tc>
          <w:tcPr>
            <w:tcW w:w="1670" w:type="pct"/>
          </w:tcPr>
          <w:p w14:paraId="73A751B2">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0.30</w:t>
            </w:r>
          </w:p>
        </w:tc>
      </w:tr>
      <w:tr w14:paraId="25BC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2" w:type="pct"/>
            <w:vAlign w:val="center"/>
          </w:tcPr>
          <w:p w14:paraId="3D154747">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绿地</w:t>
            </w:r>
          </w:p>
        </w:tc>
        <w:tc>
          <w:tcPr>
            <w:tcW w:w="1806" w:type="pct"/>
            <w:vAlign w:val="center"/>
          </w:tcPr>
          <w:p w14:paraId="3F5F1C49">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14857.2</w:t>
            </w:r>
          </w:p>
        </w:tc>
        <w:tc>
          <w:tcPr>
            <w:tcW w:w="1670" w:type="pct"/>
          </w:tcPr>
          <w:p w14:paraId="5A9842A9">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0.15</w:t>
            </w:r>
          </w:p>
        </w:tc>
      </w:tr>
      <w:tr w14:paraId="4D38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1522" w:type="pct"/>
            <w:vAlign w:val="center"/>
          </w:tcPr>
          <w:p w14:paraId="2B3AEE74">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合计</w:t>
            </w:r>
          </w:p>
        </w:tc>
        <w:tc>
          <w:tcPr>
            <w:tcW w:w="1806" w:type="pct"/>
            <w:vAlign w:val="center"/>
          </w:tcPr>
          <w:p w14:paraId="2D0C6C50">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17557.32</w:t>
            </w:r>
          </w:p>
        </w:tc>
        <w:tc>
          <w:tcPr>
            <w:tcW w:w="1670" w:type="pct"/>
          </w:tcPr>
          <w:p w14:paraId="08B00A21">
            <w:pPr>
              <w:keepNext w:val="0"/>
              <w:keepLines w:val="0"/>
              <w:widowControl/>
              <w:suppressLineNumbers w:val="0"/>
              <w:spacing w:before="0" w:beforeAutospacing="0" w:after="0" w:afterAutospacing="0"/>
              <w:ind w:left="0" w:right="0"/>
              <w:jc w:val="both"/>
              <w:rPr>
                <w:rFonts w:hint="default" w:ascii="宋体" w:hAnsi="宋体" w:eastAsia="宋体" w:cs="宋体"/>
                <w:bCs/>
                <w:color w:val="auto"/>
                <w:sz w:val="24"/>
                <w:szCs w:val="24"/>
                <w:highlight w:val="none"/>
                <w:lang w:eastAsia="zh-CN"/>
              </w:rPr>
            </w:pPr>
            <w:r>
              <w:rPr>
                <w:rFonts w:hint="eastAsia" w:ascii="宋体" w:hAnsi="宋体" w:cs="宋体"/>
                <w:color w:val="auto"/>
                <w:sz w:val="24"/>
                <w:szCs w:val="24"/>
                <w:highlight w:val="none"/>
                <w:lang w:eastAsia="zh-CN"/>
              </w:rPr>
              <w:t>0</w:t>
            </w:r>
            <w:r>
              <w:rPr>
                <w:rFonts w:hint="eastAsia" w:ascii="宋体" w:hAnsi="宋体" w:cs="宋体"/>
                <w:color w:val="auto"/>
                <w:sz w:val="24"/>
                <w:szCs w:val="24"/>
                <w:highlight w:val="none"/>
                <w:lang w:val="en-US" w:eastAsia="zh-CN"/>
              </w:rPr>
              <w:t>.173</w:t>
            </w:r>
          </w:p>
        </w:tc>
      </w:tr>
    </w:tbl>
    <w:p w14:paraId="59336916">
      <w:pPr>
        <w:pStyle w:val="40"/>
        <w:keepNext w:val="0"/>
        <w:keepLines w:val="0"/>
        <w:widowControl/>
        <w:suppressLineNumbers w:val="0"/>
        <w:spacing w:before="0" w:beforeAutospacing="0" w:after="0" w:afterAutospacing="0" w:line="360" w:lineRule="auto"/>
        <w:ind w:left="118" w:leftChars="49" w:right="0" w:firstLine="0" w:firstLineChars="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建设前综合径流系数计算公式示意如下（加权平均法）：</w:t>
      </w:r>
      <w:r>
        <w:rPr>
          <w:rFonts w:hint="eastAsia" w:ascii="宋体" w:hAnsi="宋体" w:cs="宋体"/>
          <w:color w:val="auto"/>
          <w:position w:val="-32"/>
          <w:sz w:val="24"/>
          <w:szCs w:val="24"/>
          <w:highlight w:val="none"/>
          <w:lang w:eastAsia="zh-CN"/>
        </w:rPr>
        <w:tab/>
      </w:r>
    </w:p>
    <w:p w14:paraId="462FEF78">
      <w:pPr>
        <w:keepNext w:val="0"/>
        <w:keepLines w:val="0"/>
        <w:widowControl/>
        <w:suppressLineNumbers w:val="0"/>
        <w:spacing w:before="0" w:beforeAutospacing="0" w:after="0" w:afterAutospacing="0"/>
        <w:ind w:left="137" w:leftChars="57" w:right="0"/>
        <w:jc w:val="both"/>
        <w:rPr>
          <w:rFonts w:hint="default" w:ascii="宋体" w:hAnsi="宋体" w:cs="宋体"/>
          <w:bCs/>
          <w:color w:val="auto"/>
          <w:sz w:val="24"/>
          <w:szCs w:val="24"/>
          <w:highlight w:val="none"/>
          <w:lang w:val="en-US" w:eastAsia="zh-CN"/>
        </w:rPr>
      </w:pPr>
      <w:r>
        <w:rPr>
          <w:rFonts w:hint="eastAsia" w:ascii="宋体" w:hAnsi="宋体" w:cs="宋体"/>
          <w:color w:val="auto"/>
          <w:sz w:val="24"/>
          <w:szCs w:val="24"/>
          <w:highlight w:val="none"/>
        </w:rPr>
        <w:t>Ψ</w:t>
      </w:r>
      <w:r>
        <w:rPr>
          <w:rFonts w:hint="eastAsia" w:ascii="宋体" w:hAnsi="宋体" w:cs="宋体"/>
          <w:color w:val="auto"/>
          <w:sz w:val="24"/>
          <w:szCs w:val="24"/>
          <w:highlight w:val="none"/>
          <w:vertAlign w:val="subscript"/>
        </w:rPr>
        <w:t>d（jsq）</w:t>
      </w:r>
      <w:r>
        <w:rPr>
          <w:rFonts w:hint="eastAsia" w:ascii="宋体" w:hAnsi="宋体" w:cs="宋体"/>
          <w:color w:val="auto"/>
          <w:sz w:val="24"/>
          <w:szCs w:val="24"/>
          <w:highlight w:val="none"/>
        </w:rPr>
        <w:t>＝</w:t>
      </w:r>
      <w:bookmarkStart w:id="3" w:name="OLE_LINK2"/>
      <w:r>
        <w:rPr>
          <w:rFonts w:hint="eastAsia" w:ascii="宋体" w:hAnsi="宋体" w:cs="宋体"/>
          <w:color w:val="auto"/>
          <w:sz w:val="24"/>
          <w:szCs w:val="24"/>
          <w:highlight w:val="none"/>
        </w:rPr>
        <w:t>[（</w:t>
      </w:r>
      <w:r>
        <w:rPr>
          <w:rFonts w:hint="eastAsia" w:ascii="宋体" w:hAnsi="宋体" w:eastAsia="宋体" w:cs="宋体"/>
          <w:bCs/>
          <w:color w:val="auto"/>
          <w:sz w:val="24"/>
          <w:szCs w:val="24"/>
          <w:highlight w:val="none"/>
          <w:lang w:val="en-US" w:eastAsia="zh-CN"/>
        </w:rPr>
        <w:t>2700.12</w:t>
      </w:r>
      <w:r>
        <w:rPr>
          <w:rFonts w:hint="eastAsia" w:ascii="宋体" w:hAnsi="宋体" w:cs="宋体"/>
          <w:bCs/>
          <w:color w:val="auto"/>
          <w:sz w:val="24"/>
          <w:szCs w:val="24"/>
          <w:highlight w:val="none"/>
        </w:rPr>
        <w:t>*0.</w:t>
      </w:r>
      <w:r>
        <w:rPr>
          <w:rFonts w:hint="eastAsia" w:ascii="宋体" w:hAnsi="宋体" w:cs="宋体"/>
          <w:bCs/>
          <w:color w:val="auto"/>
          <w:sz w:val="24"/>
          <w:szCs w:val="24"/>
          <w:highlight w:val="none"/>
          <w:lang w:val="en-US" w:eastAsia="zh-CN"/>
        </w:rPr>
        <w:t>3</w:t>
      </w:r>
      <w:r>
        <w:rPr>
          <w:rFonts w:hint="eastAsia" w:ascii="宋体" w:hAnsi="宋体" w:cs="宋体"/>
          <w:bCs/>
          <w:color w:val="auto"/>
          <w:sz w:val="24"/>
          <w:szCs w:val="24"/>
          <w:highlight w:val="none"/>
        </w:rPr>
        <w:t>0</w:t>
      </w:r>
      <w:r>
        <w:rPr>
          <w:rFonts w:hint="eastAsia" w:ascii="宋体" w:hAnsi="宋体" w:cs="宋体"/>
          <w:color w:val="auto"/>
          <w:sz w:val="24"/>
          <w:szCs w:val="24"/>
          <w:highlight w:val="none"/>
        </w:rPr>
        <w:t>）+（</w:t>
      </w:r>
      <w:r>
        <w:rPr>
          <w:rFonts w:hint="eastAsia" w:ascii="宋体" w:hAnsi="宋体" w:eastAsia="宋体" w:cs="宋体"/>
          <w:bCs/>
          <w:color w:val="auto"/>
          <w:sz w:val="24"/>
          <w:szCs w:val="24"/>
          <w:highlight w:val="none"/>
          <w:lang w:val="en-US" w:eastAsia="zh-CN"/>
        </w:rPr>
        <w:t>14857.2</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0.15</w:t>
      </w:r>
      <w:r>
        <w:rPr>
          <w:rFonts w:hint="eastAsia" w:ascii="宋体" w:hAnsi="宋体" w:cs="宋体"/>
          <w:color w:val="auto"/>
          <w:sz w:val="24"/>
          <w:szCs w:val="24"/>
          <w:highlight w:val="none"/>
        </w:rPr>
        <w:t>）]/</w:t>
      </w:r>
      <w:bookmarkEnd w:id="3"/>
      <w:r>
        <w:rPr>
          <w:rFonts w:hint="eastAsia" w:ascii="宋体" w:hAnsi="宋体" w:eastAsia="宋体" w:cs="宋体"/>
          <w:bCs/>
          <w:color w:val="auto"/>
          <w:sz w:val="24"/>
          <w:szCs w:val="24"/>
          <w:highlight w:val="none"/>
          <w:lang w:val="en-US" w:eastAsia="zh-CN"/>
        </w:rPr>
        <w:t>17557.32</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0</w:t>
      </w:r>
      <w:r>
        <w:rPr>
          <w:rFonts w:hint="eastAsia" w:ascii="宋体" w:hAnsi="宋体" w:cs="宋体"/>
          <w:color w:val="auto"/>
          <w:sz w:val="24"/>
          <w:szCs w:val="24"/>
          <w:highlight w:val="none"/>
          <w:lang w:val="en-US" w:eastAsia="zh-CN"/>
        </w:rPr>
        <w:t>.173</w:t>
      </w:r>
    </w:p>
    <w:p w14:paraId="4F43E918">
      <w:pPr>
        <w:pStyle w:val="40"/>
        <w:keepNext w:val="0"/>
        <w:keepLines w:val="0"/>
        <w:widowControl/>
        <w:suppressLineNumbers w:val="0"/>
        <w:spacing w:before="0" w:beforeAutospacing="0" w:after="0" w:afterAutospacing="0" w:line="360" w:lineRule="auto"/>
        <w:ind w:left="110" w:right="0" w:firstLine="0" w:firstLineChars="0"/>
        <w:jc w:val="both"/>
        <w:rPr>
          <w:rFonts w:hint="default"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3）建设前雨水径流量的计算</w:t>
      </w:r>
    </w:p>
    <w:p w14:paraId="536BDB40">
      <w:pPr>
        <w:pStyle w:val="40"/>
        <w:keepNext w:val="0"/>
        <w:keepLines w:val="0"/>
        <w:widowControl/>
        <w:suppressLineNumbers w:val="0"/>
        <w:spacing w:before="0" w:beforeAutospacing="0" w:after="0" w:afterAutospacing="0" w:line="360" w:lineRule="auto"/>
        <w:ind w:left="118" w:leftChars="49" w:right="0" w:firstLine="0" w:firstLineChars="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建设前雨水径流量计算公式如下所示：</w:t>
      </w:r>
    </w:p>
    <w:p w14:paraId="37FBF0AB">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rPr>
      </w:pPr>
      <w:r>
        <w:rPr>
          <w:rFonts w:hint="eastAsia" w:ascii="宋体" w:hAnsi="宋体" w:cs="宋体"/>
          <w:color w:val="auto"/>
          <w:sz w:val="24"/>
          <w:szCs w:val="24"/>
          <w:highlight w:val="none"/>
        </w:rPr>
        <w:t>Q</w:t>
      </w:r>
      <w:r>
        <w:rPr>
          <w:rFonts w:hint="eastAsia" w:ascii="宋体" w:hAnsi="宋体" w:cs="宋体"/>
          <w:color w:val="auto"/>
          <w:sz w:val="24"/>
          <w:szCs w:val="24"/>
          <w:highlight w:val="none"/>
          <w:vertAlign w:val="subscript"/>
        </w:rPr>
        <w:t>（jsq）</w:t>
      </w:r>
      <w:r>
        <w:rPr>
          <w:rFonts w:hint="eastAsia" w:ascii="宋体" w:hAnsi="宋体" w:cs="宋体"/>
          <w:color w:val="auto"/>
          <w:sz w:val="24"/>
          <w:szCs w:val="24"/>
          <w:highlight w:val="none"/>
        </w:rPr>
        <w:t>= Q</w:t>
      </w:r>
      <w:r>
        <w:rPr>
          <w:rFonts w:hint="eastAsia" w:ascii="宋体" w:hAnsi="宋体" w:cs="宋体"/>
          <w:color w:val="auto"/>
          <w:sz w:val="24"/>
          <w:szCs w:val="24"/>
          <w:highlight w:val="none"/>
          <w:vertAlign w:val="subscript"/>
        </w:rPr>
        <w:t>s（jsq）</w:t>
      </w:r>
      <w:r>
        <w:rPr>
          <w:rFonts w:hint="eastAsia" w:ascii="宋体" w:hAnsi="宋体" w:cs="宋体"/>
          <w:color w:val="auto"/>
          <w:sz w:val="24"/>
          <w:szCs w:val="24"/>
          <w:highlight w:val="none"/>
        </w:rPr>
        <w:t>-Q</w:t>
      </w:r>
      <w:r>
        <w:rPr>
          <w:rFonts w:hint="eastAsia" w:ascii="宋体" w:hAnsi="宋体" w:cs="宋体"/>
          <w:color w:val="auto"/>
          <w:sz w:val="24"/>
          <w:szCs w:val="24"/>
          <w:highlight w:val="none"/>
          <w:vertAlign w:val="subscript"/>
        </w:rPr>
        <w:t>d（jsq）</w:t>
      </w:r>
    </w:p>
    <w:p w14:paraId="22FC2CAC">
      <w:pPr>
        <w:keepNext w:val="0"/>
        <w:keepLines w:val="0"/>
        <w:widowControl/>
        <w:suppressLineNumbers w:val="0"/>
        <w:spacing w:before="0" w:beforeAutospacing="0" w:after="0" w:afterAutospacing="0"/>
        <w:ind w:left="0" w:right="0"/>
        <w:jc w:val="both"/>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Q</w:t>
      </w:r>
      <w:r>
        <w:rPr>
          <w:rFonts w:hint="eastAsia" w:ascii="宋体" w:hAnsi="宋体" w:cs="宋体"/>
          <w:color w:val="auto"/>
          <w:sz w:val="24"/>
          <w:szCs w:val="24"/>
          <w:highlight w:val="none"/>
          <w:vertAlign w:val="subscript"/>
          <w:lang w:eastAsia="zh-CN"/>
        </w:rPr>
        <w:t>s</w:t>
      </w:r>
      <w:r>
        <w:rPr>
          <w:rFonts w:hint="eastAsia" w:ascii="宋体" w:hAnsi="宋体" w:cs="宋体"/>
          <w:color w:val="auto"/>
          <w:sz w:val="24"/>
          <w:szCs w:val="24"/>
          <w:highlight w:val="none"/>
          <w:lang w:eastAsia="zh-CN"/>
        </w:rPr>
        <w:t>=q</w:t>
      </w:r>
      <w:r>
        <w:rPr>
          <w:rFonts w:hint="eastAsia" w:ascii="宋体" w:hAnsi="宋体" w:cs="宋体"/>
          <w:color w:val="auto"/>
          <w:sz w:val="24"/>
          <w:szCs w:val="24"/>
          <w:highlight w:val="none"/>
        </w:rPr>
        <w:t>Ψ</w:t>
      </w:r>
      <w:r>
        <w:rPr>
          <w:rFonts w:hint="eastAsia" w:ascii="宋体" w:hAnsi="宋体" w:cs="宋体"/>
          <w:color w:val="auto"/>
          <w:sz w:val="24"/>
          <w:szCs w:val="24"/>
          <w:highlight w:val="none"/>
          <w:lang w:eastAsia="zh-CN"/>
        </w:rPr>
        <w:t>F</w:t>
      </w:r>
    </w:p>
    <w:p w14:paraId="67E05B31">
      <w:pPr>
        <w:pStyle w:val="41"/>
        <w:keepNext w:val="0"/>
        <w:keepLines w:val="0"/>
        <w:widowControl/>
        <w:suppressLineNumbers w:val="0"/>
        <w:spacing w:before="0" w:beforeAutospacing="0" w:after="0" w:afterAutospacing="0"/>
        <w:ind w:left="0" w:right="0" w:firstLine="480"/>
        <w:rPr>
          <w:highlight w:val="none"/>
        </w:rPr>
      </w:pPr>
      <w:r>
        <w:rPr>
          <w:rFonts w:hint="eastAsia" w:ascii="宋体" w:hAnsi="宋体" w:cs="宋体"/>
          <w:color w:val="auto"/>
          <w:spacing w:val="8"/>
          <w:sz w:val="24"/>
          <w:szCs w:val="24"/>
          <w:highlight w:val="none"/>
        </w:rPr>
        <w:t>设计暴雨强度，</w:t>
      </w:r>
      <w:r>
        <w:rPr>
          <w:rFonts w:hint="eastAsia"/>
          <w:highlight w:val="none"/>
        </w:rPr>
        <w:t>采用广州市花都区</w:t>
      </w:r>
      <w:r>
        <w:rPr>
          <w:rFonts w:hint="eastAsia" w:asciiTheme="minorEastAsia" w:hAnsiTheme="minorEastAsia" w:eastAsiaTheme="minorEastAsia" w:cstheme="minorEastAsia"/>
          <w:color w:val="auto"/>
          <w:sz w:val="24"/>
          <w:szCs w:val="24"/>
          <w:highlight w:val="none"/>
        </w:rPr>
        <w:t>P=</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年</w:t>
      </w:r>
      <w:r>
        <w:rPr>
          <w:rFonts w:hint="eastAsia"/>
          <w:highlight w:val="none"/>
        </w:rPr>
        <w:t>设计重现期的暴雨强度计算公式：</w:t>
      </w:r>
    </w:p>
    <w:p w14:paraId="1EF65AA2">
      <w:pPr>
        <w:spacing w:line="360" w:lineRule="auto"/>
        <w:ind w:firstLine="480"/>
        <w:rPr>
          <w:rFonts w:hint="default" w:ascii="宋体" w:hAnsi="宋体" w:cs="宋体"/>
          <w:color w:val="auto"/>
          <w:spacing w:val="8"/>
          <w:sz w:val="24"/>
          <w:szCs w:val="24"/>
          <w:highlight w:val="none"/>
        </w:rPr>
      </w:pPr>
      <m:oMathPara>
        <m:oMath>
          <m:r>
            <m:rPr/>
            <w:rPr>
              <w:rFonts w:ascii="Cambria Math" w:hAnsi="Cambria Math"/>
              <w:highlight w:val="none"/>
            </w:rPr>
            <m:t>q</m:t>
          </m:r>
          <m:r>
            <m:rPr>
              <m:sty m:val="p"/>
            </m:rPr>
            <w:rPr>
              <w:rFonts w:ascii="Cambria Math" w:hAnsi="Cambria Math"/>
              <w:highlight w:val="none"/>
            </w:rPr>
            <m:t>=</m:t>
          </m:r>
          <m:f>
            <m:fPr>
              <m:ctrlPr>
                <w:rPr>
                  <w:rFonts w:ascii="Cambria Math" w:hAnsi="Cambria Math"/>
                  <w:highlight w:val="none"/>
                </w:rPr>
              </m:ctrlPr>
            </m:fPr>
            <m:num>
              <m:r>
                <m:rPr>
                  <m:sty m:val="p"/>
                </m:rPr>
                <w:rPr>
                  <w:rFonts w:hint="default" w:ascii="Cambria Math" w:hAnsi="Cambria Math"/>
                  <w:highlight w:val="none"/>
                  <w:lang w:val="en-US" w:eastAsia="zh-CN"/>
                </w:rPr>
                <m:t>7599.335</m:t>
              </m:r>
              <m:ctrlPr>
                <w:rPr>
                  <w:rFonts w:ascii="Cambria Math" w:hAnsi="Cambria Math"/>
                  <w:highlight w:val="none"/>
                </w:rPr>
              </m:ctrlPr>
            </m:num>
            <m:den>
              <m:sSup>
                <m:sSupPr>
                  <m:ctrlPr>
                    <w:rPr>
                      <w:rFonts w:ascii="Cambria Math" w:hAnsi="Cambria Math"/>
                      <w:highlight w:val="none"/>
                    </w:rPr>
                  </m:ctrlPr>
                </m:sSupPr>
                <m:e>
                  <m:r>
                    <m:rPr>
                      <m:sty m:val="p"/>
                    </m:rPr>
                    <w:rPr>
                      <w:rFonts w:ascii="Cambria Math" w:hAnsi="Cambria Math"/>
                      <w:highlight w:val="none"/>
                    </w:rPr>
                    <m:t>（</m:t>
                  </m:r>
                  <m:r>
                    <m:rPr/>
                    <w:rPr>
                      <w:rFonts w:ascii="Cambria Math" w:hAnsi="Cambria Math"/>
                      <w:highlight w:val="none"/>
                    </w:rPr>
                    <m:t>t</m:t>
                  </m:r>
                  <m:r>
                    <m:rPr>
                      <m:sty m:val="p"/>
                    </m:rPr>
                    <w:rPr>
                      <w:rFonts w:ascii="Cambria Math" w:hAnsi="Cambria Math"/>
                      <w:highlight w:val="none"/>
                    </w:rPr>
                    <m:t>+</m:t>
                  </m:r>
                  <m:r>
                    <m:rPr>
                      <m:sty m:val="p"/>
                    </m:rPr>
                    <w:rPr>
                      <w:rFonts w:hint="default" w:ascii="Cambria Math" w:hAnsi="Cambria Math"/>
                      <w:highlight w:val="none"/>
                      <w:lang w:val="en-US" w:eastAsia="zh-CN"/>
                    </w:rPr>
                    <m:t>26.213</m:t>
                  </m:r>
                  <m:r>
                    <m:rPr>
                      <m:sty m:val="p"/>
                    </m:rPr>
                    <w:rPr>
                      <w:rFonts w:ascii="Cambria Math" w:hAnsi="Cambria Math"/>
                      <w:highlight w:val="none"/>
                    </w:rPr>
                    <m:t>）</m:t>
                  </m:r>
                  <m:ctrlPr>
                    <w:rPr>
                      <w:rFonts w:ascii="Cambria Math" w:hAnsi="Cambria Math"/>
                      <w:highlight w:val="none"/>
                    </w:rPr>
                  </m:ctrlPr>
                </m:e>
                <m:sup>
                  <m:r>
                    <m:rPr>
                      <m:sty m:val="p"/>
                    </m:rPr>
                    <w:rPr>
                      <w:rFonts w:hint="default" w:ascii="Cambria Math" w:hAnsi="Cambria Math"/>
                      <w:highlight w:val="none"/>
                      <w:lang w:val="en-US" w:eastAsia="zh-CN"/>
                    </w:rPr>
                    <m:t>0.800</m:t>
                  </m:r>
                  <m:ctrlPr>
                    <w:rPr>
                      <w:rFonts w:ascii="Cambria Math" w:hAnsi="Cambria Math"/>
                      <w:highlight w:val="none"/>
                    </w:rPr>
                  </m:ctrlPr>
                </m:sup>
              </m:sSup>
              <m:ctrlPr>
                <w:rPr>
                  <w:rFonts w:ascii="Cambria Math" w:hAnsi="Cambria Math"/>
                  <w:highlight w:val="none"/>
                </w:rPr>
              </m:ctrlPr>
            </m:den>
          </m:f>
        </m:oMath>
      </m:oMathPara>
    </w:p>
    <w:p w14:paraId="3DC332BF">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式中：q——设计暴雨强度[L/（s·hm</w:t>
      </w:r>
      <w:r>
        <w:rPr>
          <w:rFonts w:hint="eastAsia" w:ascii="宋体" w:hAnsi="宋体" w:cs="宋体"/>
          <w:color w:val="auto"/>
          <w:sz w:val="24"/>
          <w:szCs w:val="24"/>
          <w:highlight w:val="none"/>
          <w:vertAlign w:val="superscript"/>
          <w:lang w:eastAsia="zh-CN"/>
        </w:rPr>
        <w:t>2</w:t>
      </w:r>
      <w:r>
        <w:rPr>
          <w:rFonts w:hint="eastAsia" w:ascii="宋体" w:hAnsi="宋体" w:cs="宋体"/>
          <w:color w:val="auto"/>
          <w:sz w:val="24"/>
          <w:szCs w:val="24"/>
          <w:highlight w:val="none"/>
          <w:lang w:eastAsia="zh-CN"/>
        </w:rPr>
        <w:t>）]；</w:t>
      </w:r>
    </w:p>
    <w:p w14:paraId="495A66F6">
      <w:pPr>
        <w:keepNext w:val="0"/>
        <w:keepLines w:val="0"/>
        <w:widowControl/>
        <w:suppressLineNumbers w:val="0"/>
        <w:spacing w:before="0" w:beforeAutospacing="0" w:after="0" w:afterAutospacing="0"/>
        <w:ind w:left="0" w:right="0" w:firstLine="1200" w:firstLineChars="50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t——降雨历时（min），取值10min；</w:t>
      </w:r>
    </w:p>
    <w:p w14:paraId="2A8607BD">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代入数据，设计暴雨强度计算结果为</w:t>
      </w:r>
      <w:r>
        <w:rPr>
          <w:rFonts w:hint="eastAsia" w:ascii="宋体" w:hAnsi="宋体" w:cs="宋体"/>
          <w:color w:val="auto"/>
          <w:sz w:val="24"/>
          <w:szCs w:val="24"/>
          <w:highlight w:val="none"/>
          <w:lang w:val="en-US" w:eastAsia="zh-CN"/>
        </w:rPr>
        <w:t xml:space="preserve">430.21 </w:t>
      </w:r>
      <w:r>
        <w:rPr>
          <w:rFonts w:hint="eastAsia" w:ascii="宋体" w:hAnsi="宋体" w:cs="宋体"/>
          <w:color w:val="auto"/>
          <w:sz w:val="24"/>
          <w:szCs w:val="24"/>
          <w:highlight w:val="none"/>
          <w:lang w:eastAsia="zh-CN"/>
        </w:rPr>
        <w:t>L/（s·hm</w:t>
      </w:r>
      <w:r>
        <w:rPr>
          <w:rFonts w:hint="eastAsia" w:ascii="宋体" w:hAnsi="宋体" w:cs="宋体"/>
          <w:color w:val="auto"/>
          <w:sz w:val="24"/>
          <w:szCs w:val="24"/>
          <w:highlight w:val="none"/>
          <w:vertAlign w:val="superscript"/>
          <w:lang w:eastAsia="zh-CN"/>
        </w:rPr>
        <w:t>2</w:t>
      </w:r>
      <w:r>
        <w:rPr>
          <w:rFonts w:hint="eastAsia" w:ascii="宋体" w:hAnsi="宋体" w:cs="宋体"/>
          <w:color w:val="auto"/>
          <w:sz w:val="24"/>
          <w:szCs w:val="24"/>
          <w:highlight w:val="none"/>
          <w:lang w:eastAsia="zh-CN"/>
        </w:rPr>
        <w:t>）。</w:t>
      </w:r>
    </w:p>
    <w:p w14:paraId="670EFEE9">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由于项目建设前，没有雨水径流削减措施，因此，Q</w:t>
      </w:r>
      <w:r>
        <w:rPr>
          <w:rFonts w:hint="eastAsia" w:ascii="宋体" w:hAnsi="宋体" w:cs="宋体"/>
          <w:color w:val="auto"/>
          <w:sz w:val="24"/>
          <w:szCs w:val="24"/>
          <w:highlight w:val="none"/>
          <w:vertAlign w:val="subscript"/>
          <w:lang w:eastAsia="zh-CN"/>
        </w:rPr>
        <w:t>d（jsq）</w:t>
      </w:r>
      <w:r>
        <w:rPr>
          <w:rFonts w:hint="eastAsia" w:ascii="宋体" w:hAnsi="宋体" w:cs="宋体"/>
          <w:color w:val="auto"/>
          <w:sz w:val="24"/>
          <w:szCs w:val="24"/>
          <w:highlight w:val="none"/>
          <w:lang w:eastAsia="zh-CN"/>
        </w:rPr>
        <w:t>＝0，则建设前雨水径流量计算如下：</w:t>
      </w:r>
    </w:p>
    <w:p w14:paraId="774237E7">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Q</w:t>
      </w:r>
      <w:r>
        <w:rPr>
          <w:rFonts w:hint="eastAsia" w:ascii="宋体" w:hAnsi="宋体" w:cs="宋体"/>
          <w:color w:val="auto"/>
          <w:sz w:val="24"/>
          <w:szCs w:val="24"/>
          <w:highlight w:val="none"/>
          <w:vertAlign w:val="subscript"/>
          <w:lang w:eastAsia="zh-CN"/>
        </w:rPr>
        <w:t>（jsq）</w:t>
      </w:r>
      <w:r>
        <w:rPr>
          <w:rFonts w:hint="eastAsia" w:ascii="宋体" w:hAnsi="宋体" w:cs="宋体"/>
          <w:color w:val="auto"/>
          <w:sz w:val="24"/>
          <w:szCs w:val="24"/>
          <w:highlight w:val="none"/>
          <w:lang w:eastAsia="zh-CN"/>
        </w:rPr>
        <w:t>=0.</w:t>
      </w:r>
      <w:r>
        <w:rPr>
          <w:rFonts w:hint="eastAsia" w:ascii="宋体" w:hAnsi="宋体" w:cs="宋体"/>
          <w:color w:val="auto"/>
          <w:sz w:val="24"/>
          <w:szCs w:val="24"/>
          <w:highlight w:val="none"/>
          <w:lang w:val="en-US" w:eastAsia="zh-CN"/>
        </w:rPr>
        <w:t>173</w:t>
      </w:r>
      <w:r>
        <w:rPr>
          <w:rFonts w:hint="eastAsia" w:ascii="宋体" w:hAnsi="宋体" w:cs="宋体"/>
          <w:color w:val="auto"/>
          <w:sz w:val="24"/>
          <w:szCs w:val="24"/>
          <w:highlight w:val="none"/>
          <w:lang w:eastAsia="zh-CN"/>
        </w:rPr>
        <w:t>*</w:t>
      </w:r>
      <w:bookmarkStart w:id="4" w:name="OLE_LINK1"/>
      <w:r>
        <w:rPr>
          <w:rFonts w:hint="eastAsia" w:ascii="宋体" w:hAnsi="宋体" w:cs="宋体"/>
          <w:color w:val="auto"/>
          <w:sz w:val="24"/>
          <w:szCs w:val="24"/>
          <w:highlight w:val="none"/>
          <w:lang w:val="en-US" w:eastAsia="zh-CN"/>
        </w:rPr>
        <w:t>430.21</w:t>
      </w:r>
      <w:r>
        <w:rPr>
          <w:rFonts w:hint="eastAsia" w:ascii="宋体" w:hAnsi="宋体" w:cs="宋体"/>
          <w:color w:val="auto"/>
          <w:sz w:val="24"/>
          <w:szCs w:val="24"/>
          <w:highlight w:val="none"/>
          <w:lang w:eastAsia="zh-CN"/>
        </w:rPr>
        <w:t>*</w:t>
      </w:r>
      <w:r>
        <w:rPr>
          <w:rFonts w:hint="eastAsia" w:ascii="宋体" w:hAnsi="宋体" w:eastAsia="宋体" w:cs="宋体"/>
          <w:bCs/>
          <w:color w:val="auto"/>
          <w:sz w:val="24"/>
          <w:szCs w:val="24"/>
          <w:highlight w:val="none"/>
          <w:lang w:val="en-US" w:eastAsia="zh-CN"/>
        </w:rPr>
        <w:t>17557.32</w:t>
      </w:r>
      <w:r>
        <w:rPr>
          <w:rFonts w:hint="eastAsia" w:ascii="宋体" w:hAnsi="宋体" w:cs="宋体"/>
          <w:color w:val="auto"/>
          <w:sz w:val="24"/>
          <w:szCs w:val="24"/>
          <w:highlight w:val="none"/>
          <w:lang w:eastAsia="zh-CN"/>
        </w:rPr>
        <w:t>/10000</w:t>
      </w:r>
      <w:bookmarkEnd w:id="4"/>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130.67</w:t>
      </w:r>
      <w:r>
        <w:rPr>
          <w:rFonts w:hint="eastAsia" w:ascii="宋体" w:hAnsi="宋体" w:cs="宋体"/>
          <w:color w:val="auto"/>
          <w:sz w:val="24"/>
          <w:szCs w:val="24"/>
          <w:highlight w:val="none"/>
          <w:lang w:eastAsia="zh-CN"/>
        </w:rPr>
        <w:t>（L/s）</w:t>
      </w:r>
    </w:p>
    <w:p w14:paraId="5EE34F96">
      <w:pPr>
        <w:pStyle w:val="40"/>
        <w:keepNext w:val="0"/>
        <w:keepLines w:val="0"/>
        <w:widowControl/>
        <w:suppressLineNumbers w:val="0"/>
        <w:spacing w:before="0" w:beforeAutospacing="0" w:after="0" w:afterAutospacing="0" w:line="360" w:lineRule="auto"/>
        <w:ind w:left="110" w:right="0" w:firstLine="0" w:firstLineChars="0"/>
        <w:jc w:val="both"/>
        <w:rPr>
          <w:rFonts w:hint="default"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4）建设后综合径流系数计算</w:t>
      </w:r>
    </w:p>
    <w:p w14:paraId="2E45307E">
      <w:pPr>
        <w:pStyle w:val="40"/>
        <w:keepNext w:val="0"/>
        <w:keepLines w:val="0"/>
        <w:widowControl/>
        <w:suppressLineNumbers w:val="0"/>
        <w:spacing w:before="0" w:beforeAutospacing="0" w:after="0" w:afterAutospacing="0" w:line="360" w:lineRule="auto"/>
        <w:ind w:left="118" w:leftChars="49" w:right="0" w:firstLine="0" w:firstLineChars="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①根据建设项目总平面布置图，统计得出表3，项目建设后汇水范围内下垫面面积统计如下：</w:t>
      </w:r>
    </w:p>
    <w:p w14:paraId="3075C761">
      <w:pPr>
        <w:pStyle w:val="40"/>
        <w:keepNext w:val="0"/>
        <w:keepLines w:val="0"/>
        <w:widowControl/>
        <w:suppressLineNumbers w:val="0"/>
        <w:spacing w:before="0" w:beforeAutospacing="0" w:after="0" w:afterAutospacing="0" w:line="360" w:lineRule="auto"/>
        <w:ind w:left="110" w:right="0" w:firstLine="0" w:firstLineChars="0"/>
        <w:jc w:val="center"/>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表3 未采取雨水径流控制措施前下垫面统计</w:t>
      </w:r>
    </w:p>
    <w:tbl>
      <w:tblPr>
        <w:tblStyle w:val="17"/>
        <w:tblW w:w="34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3"/>
        <w:gridCol w:w="2651"/>
        <w:gridCol w:w="2535"/>
      </w:tblGrid>
      <w:tr w14:paraId="0BD8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3" w:type="pct"/>
            <w:vAlign w:val="center"/>
          </w:tcPr>
          <w:p w14:paraId="5ED48279">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下垫面种类</w:t>
            </w:r>
          </w:p>
        </w:tc>
        <w:tc>
          <w:tcPr>
            <w:tcW w:w="1853" w:type="pct"/>
            <w:vAlign w:val="bottom"/>
          </w:tcPr>
          <w:p w14:paraId="31B201E7">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面积（m</w:t>
            </w:r>
            <w:r>
              <w:rPr>
                <w:rFonts w:hint="eastAsia" w:ascii="宋体" w:hAnsi="宋体" w:cs="宋体"/>
                <w:color w:val="auto"/>
                <w:sz w:val="24"/>
                <w:szCs w:val="24"/>
                <w:highlight w:val="none"/>
                <w:vertAlign w:val="superscript"/>
                <w:lang w:eastAsia="zh-CN"/>
              </w:rPr>
              <w:t>2</w:t>
            </w:r>
            <w:r>
              <w:rPr>
                <w:rFonts w:hint="eastAsia" w:ascii="宋体" w:hAnsi="宋体" w:cs="宋体"/>
                <w:color w:val="auto"/>
                <w:sz w:val="24"/>
                <w:szCs w:val="24"/>
                <w:highlight w:val="none"/>
                <w:lang w:eastAsia="zh-CN"/>
              </w:rPr>
              <w:t>）</w:t>
            </w:r>
          </w:p>
        </w:tc>
        <w:tc>
          <w:tcPr>
            <w:tcW w:w="1772" w:type="pct"/>
          </w:tcPr>
          <w:p w14:paraId="3743A5A9">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径流系数取值</w:t>
            </w:r>
          </w:p>
        </w:tc>
      </w:tr>
      <w:tr w14:paraId="43BF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3" w:type="pct"/>
            <w:vAlign w:val="center"/>
          </w:tcPr>
          <w:p w14:paraId="69C5D8AA">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沥青路面</w:t>
            </w:r>
          </w:p>
        </w:tc>
        <w:tc>
          <w:tcPr>
            <w:tcW w:w="1853" w:type="pct"/>
            <w:vAlign w:val="center"/>
          </w:tcPr>
          <w:p w14:paraId="23A6D371">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7510.5</w:t>
            </w:r>
          </w:p>
        </w:tc>
        <w:tc>
          <w:tcPr>
            <w:tcW w:w="1772" w:type="pct"/>
          </w:tcPr>
          <w:p w14:paraId="460F1901">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0.9</w:t>
            </w:r>
          </w:p>
        </w:tc>
      </w:tr>
      <w:tr w14:paraId="3549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3" w:type="pct"/>
            <w:vAlign w:val="center"/>
          </w:tcPr>
          <w:p w14:paraId="095BA0B4">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透水路面</w:t>
            </w:r>
          </w:p>
        </w:tc>
        <w:tc>
          <w:tcPr>
            <w:tcW w:w="1853" w:type="pct"/>
            <w:vAlign w:val="center"/>
          </w:tcPr>
          <w:p w14:paraId="159C5C63">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3686.51</w:t>
            </w:r>
          </w:p>
        </w:tc>
        <w:tc>
          <w:tcPr>
            <w:tcW w:w="1772" w:type="pct"/>
          </w:tcPr>
          <w:p w14:paraId="5C2CF5C0">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eastAsia="zh-CN"/>
              </w:rPr>
              <w:t>0.</w:t>
            </w:r>
            <w:r>
              <w:rPr>
                <w:rFonts w:hint="eastAsia" w:ascii="宋体" w:hAnsi="宋体" w:cs="宋体"/>
                <w:bCs/>
                <w:color w:val="auto"/>
                <w:sz w:val="24"/>
                <w:szCs w:val="24"/>
                <w:highlight w:val="none"/>
                <w:lang w:val="en-US" w:eastAsia="zh-CN"/>
              </w:rPr>
              <w:t>30</w:t>
            </w:r>
          </w:p>
        </w:tc>
      </w:tr>
      <w:tr w14:paraId="702CE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3" w:type="pct"/>
            <w:vAlign w:val="center"/>
          </w:tcPr>
          <w:p w14:paraId="7811E8D0">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绿地</w:t>
            </w:r>
          </w:p>
        </w:tc>
        <w:tc>
          <w:tcPr>
            <w:tcW w:w="1853" w:type="pct"/>
            <w:vAlign w:val="center"/>
          </w:tcPr>
          <w:p w14:paraId="1879AB79">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6360.31</w:t>
            </w:r>
          </w:p>
        </w:tc>
        <w:tc>
          <w:tcPr>
            <w:tcW w:w="1772" w:type="pct"/>
          </w:tcPr>
          <w:p w14:paraId="469588F7">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0.15</w:t>
            </w:r>
          </w:p>
        </w:tc>
      </w:tr>
      <w:tr w14:paraId="5273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73" w:type="pct"/>
            <w:vAlign w:val="center"/>
          </w:tcPr>
          <w:p w14:paraId="1FE3318F">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合计</w:t>
            </w:r>
          </w:p>
        </w:tc>
        <w:tc>
          <w:tcPr>
            <w:tcW w:w="1853" w:type="pct"/>
            <w:vAlign w:val="center"/>
          </w:tcPr>
          <w:p w14:paraId="38DA4DD7">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17557.32</w:t>
            </w:r>
          </w:p>
        </w:tc>
        <w:tc>
          <w:tcPr>
            <w:tcW w:w="1772" w:type="pct"/>
          </w:tcPr>
          <w:p w14:paraId="00C9D114">
            <w:pPr>
              <w:keepNext w:val="0"/>
              <w:keepLines w:val="0"/>
              <w:widowControl/>
              <w:suppressLineNumbers w:val="0"/>
              <w:spacing w:before="0" w:beforeAutospacing="0" w:after="0" w:afterAutospacing="0"/>
              <w:ind w:left="0" w:right="0"/>
              <w:jc w:val="both"/>
              <w:rPr>
                <w:rFonts w:hint="default" w:ascii="宋体" w:hAnsi="宋体" w:cs="宋体"/>
                <w:bCs/>
                <w:color w:val="auto"/>
                <w:sz w:val="24"/>
                <w:szCs w:val="24"/>
                <w:highlight w:val="none"/>
                <w:lang w:eastAsia="zh-CN"/>
              </w:rPr>
            </w:pPr>
            <w:r>
              <w:rPr>
                <w:rFonts w:hint="eastAsia" w:ascii="宋体" w:hAnsi="宋体" w:cs="宋体"/>
                <w:color w:val="auto"/>
                <w:sz w:val="24"/>
                <w:szCs w:val="24"/>
                <w:highlight w:val="none"/>
              </w:rPr>
              <w:t>0.</w:t>
            </w:r>
            <w:r>
              <w:rPr>
                <w:rFonts w:hint="eastAsia" w:ascii="宋体" w:hAnsi="宋体" w:cs="宋体"/>
                <w:color w:val="auto"/>
                <w:sz w:val="24"/>
                <w:szCs w:val="24"/>
                <w:highlight w:val="none"/>
                <w:lang w:val="en-US" w:eastAsia="zh-CN"/>
              </w:rPr>
              <w:t>502</w:t>
            </w:r>
          </w:p>
        </w:tc>
      </w:tr>
    </w:tbl>
    <w:p w14:paraId="6846294D">
      <w:pPr>
        <w:pStyle w:val="40"/>
        <w:keepNext w:val="0"/>
        <w:keepLines w:val="0"/>
        <w:widowControl/>
        <w:suppressLineNumbers w:val="0"/>
        <w:spacing w:before="0" w:beforeAutospacing="0" w:after="0" w:afterAutospacing="0" w:line="360" w:lineRule="auto"/>
        <w:ind w:left="118" w:leftChars="49" w:right="0" w:firstLine="0" w:firstLineChars="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②建设项目建设后综合径流系数计算如下：</w:t>
      </w:r>
    </w:p>
    <w:p w14:paraId="1A547F39">
      <w:pPr>
        <w:keepNext w:val="0"/>
        <w:keepLines w:val="0"/>
        <w:widowControl/>
        <w:suppressLineNumbers w:val="0"/>
        <w:spacing w:before="0" w:beforeAutospacing="0" w:after="0" w:afterAutospacing="0"/>
        <w:ind w:left="0" w:right="0"/>
        <w:jc w:val="both"/>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Ψ</w:t>
      </w:r>
      <w:r>
        <w:rPr>
          <w:rFonts w:hint="eastAsia" w:ascii="宋体" w:hAnsi="宋体" w:cs="宋体"/>
          <w:color w:val="auto"/>
          <w:sz w:val="24"/>
          <w:szCs w:val="24"/>
          <w:highlight w:val="none"/>
          <w:vertAlign w:val="subscript"/>
        </w:rPr>
        <w:t>d（jsq）</w:t>
      </w:r>
      <w:r>
        <w:rPr>
          <w:rFonts w:hint="eastAsia" w:ascii="宋体" w:hAnsi="宋体" w:cs="宋体"/>
          <w:color w:val="auto"/>
          <w:sz w:val="24"/>
          <w:szCs w:val="24"/>
          <w:highlight w:val="none"/>
        </w:rPr>
        <w:t>＝[（</w:t>
      </w:r>
      <w:r>
        <w:rPr>
          <w:rFonts w:hint="eastAsia" w:ascii="宋体" w:hAnsi="宋体" w:cs="宋体"/>
          <w:bCs/>
          <w:color w:val="auto"/>
          <w:sz w:val="24"/>
          <w:szCs w:val="24"/>
          <w:highlight w:val="none"/>
          <w:lang w:val="en-US" w:eastAsia="zh-CN"/>
        </w:rPr>
        <w:t>7510.5</w:t>
      </w:r>
      <w:r>
        <w:rPr>
          <w:rFonts w:hint="eastAsia" w:ascii="宋体" w:hAnsi="宋体" w:cs="宋体"/>
          <w:color w:val="auto"/>
          <w:sz w:val="24"/>
          <w:szCs w:val="24"/>
          <w:highlight w:val="none"/>
        </w:rPr>
        <w:t>*0.9）+（</w:t>
      </w:r>
      <w:r>
        <w:rPr>
          <w:rFonts w:hint="eastAsia" w:ascii="宋体" w:hAnsi="宋体" w:cs="宋体"/>
          <w:bCs/>
          <w:color w:val="auto"/>
          <w:sz w:val="24"/>
          <w:szCs w:val="24"/>
          <w:highlight w:val="none"/>
          <w:lang w:val="en-US" w:eastAsia="zh-CN"/>
        </w:rPr>
        <w:t>3686.51</w:t>
      </w:r>
      <w:r>
        <w:rPr>
          <w:rFonts w:hint="eastAsia" w:ascii="宋体" w:hAnsi="宋体" w:cs="宋体"/>
          <w:bCs/>
          <w:color w:val="auto"/>
          <w:sz w:val="24"/>
          <w:szCs w:val="24"/>
          <w:highlight w:val="none"/>
        </w:rPr>
        <w:t>*0.</w:t>
      </w:r>
      <w:r>
        <w:rPr>
          <w:rFonts w:hint="eastAsia" w:ascii="宋体" w:hAnsi="宋体" w:cs="宋体"/>
          <w:bCs/>
          <w:color w:val="auto"/>
          <w:sz w:val="24"/>
          <w:szCs w:val="24"/>
          <w:highlight w:val="none"/>
          <w:lang w:val="en-US" w:eastAsia="zh-CN"/>
        </w:rPr>
        <w:t>30</w:t>
      </w:r>
      <w:r>
        <w:rPr>
          <w:rFonts w:hint="eastAsia" w:ascii="宋体" w:hAnsi="宋体" w:cs="宋体"/>
          <w:color w:val="auto"/>
          <w:sz w:val="24"/>
          <w:szCs w:val="24"/>
          <w:highlight w:val="none"/>
        </w:rPr>
        <w:t>）+（</w:t>
      </w:r>
      <w:r>
        <w:rPr>
          <w:rFonts w:hint="eastAsia" w:ascii="宋体" w:hAnsi="宋体" w:cs="宋体"/>
          <w:bCs/>
          <w:color w:val="auto"/>
          <w:sz w:val="24"/>
          <w:szCs w:val="24"/>
          <w:highlight w:val="none"/>
          <w:lang w:val="en-US" w:eastAsia="zh-CN"/>
        </w:rPr>
        <w:t>6360.31</w:t>
      </w:r>
      <w:r>
        <w:rPr>
          <w:rFonts w:hint="eastAsia" w:ascii="宋体" w:hAnsi="宋体" w:cs="宋体"/>
          <w:bCs/>
          <w:color w:val="auto"/>
          <w:sz w:val="24"/>
          <w:szCs w:val="24"/>
          <w:highlight w:val="none"/>
        </w:rPr>
        <w:t>*0.</w:t>
      </w:r>
      <w:r>
        <w:rPr>
          <w:rFonts w:hint="eastAsia" w:ascii="宋体" w:hAnsi="宋体" w:cs="宋体"/>
          <w:bCs/>
          <w:color w:val="auto"/>
          <w:sz w:val="24"/>
          <w:szCs w:val="24"/>
          <w:highlight w:val="none"/>
          <w:lang w:eastAsia="zh-CN"/>
        </w:rPr>
        <w:t>15</w:t>
      </w:r>
      <w:r>
        <w:rPr>
          <w:rFonts w:hint="eastAsia" w:ascii="宋体" w:hAnsi="宋体" w:cs="宋体"/>
          <w:color w:val="auto"/>
          <w:sz w:val="24"/>
          <w:szCs w:val="24"/>
          <w:highlight w:val="none"/>
        </w:rPr>
        <w:t>）]/</w:t>
      </w:r>
      <w:r>
        <w:rPr>
          <w:rFonts w:hint="eastAsia" w:ascii="宋体" w:hAnsi="宋体" w:eastAsia="宋体" w:cs="宋体"/>
          <w:bCs/>
          <w:color w:val="auto"/>
          <w:sz w:val="24"/>
          <w:szCs w:val="24"/>
          <w:highlight w:val="none"/>
          <w:lang w:val="en-US" w:eastAsia="zh-CN"/>
        </w:rPr>
        <w:t>17557.32</w:t>
      </w:r>
      <w:r>
        <w:rPr>
          <w:rFonts w:hint="eastAsia" w:ascii="宋体" w:hAnsi="宋体" w:cs="宋体"/>
          <w:color w:val="auto"/>
          <w:sz w:val="24"/>
          <w:szCs w:val="24"/>
          <w:highlight w:val="none"/>
        </w:rPr>
        <w:t>≈0.</w:t>
      </w:r>
      <w:r>
        <w:rPr>
          <w:rFonts w:hint="eastAsia" w:ascii="宋体" w:hAnsi="宋体" w:cs="宋体"/>
          <w:color w:val="auto"/>
          <w:sz w:val="24"/>
          <w:szCs w:val="24"/>
          <w:highlight w:val="none"/>
          <w:lang w:val="en-US" w:eastAsia="zh-CN"/>
        </w:rPr>
        <w:t>502</w:t>
      </w:r>
    </w:p>
    <w:p w14:paraId="408AAEAF">
      <w:pPr>
        <w:pStyle w:val="40"/>
        <w:keepNext w:val="0"/>
        <w:keepLines w:val="0"/>
        <w:widowControl/>
        <w:suppressLineNumbers w:val="0"/>
        <w:spacing w:before="0" w:beforeAutospacing="0" w:after="0" w:afterAutospacing="0" w:line="360" w:lineRule="auto"/>
        <w:ind w:left="110" w:right="0" w:firstLine="0" w:firstLineChars="0"/>
        <w:jc w:val="both"/>
        <w:rPr>
          <w:rFonts w:hint="default"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5）建设后未采取措施时的雨水径流量</w:t>
      </w:r>
    </w:p>
    <w:p w14:paraId="07DEF0AC">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建设后雨水径流量计算同建设前。</w:t>
      </w:r>
    </w:p>
    <w:p w14:paraId="783EF1FE">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建设后未采取雨水径流控制措施时设计雨水流量计算如下：</w:t>
      </w:r>
    </w:p>
    <w:p w14:paraId="1D28E8E2">
      <w:pPr>
        <w:keepNext w:val="0"/>
        <w:keepLines w:val="0"/>
        <w:widowControl/>
        <w:suppressLineNumbers w:val="0"/>
        <w:spacing w:before="0" w:beforeAutospacing="0" w:after="0" w:afterAutospacing="0"/>
        <w:ind w:left="0" w:right="0"/>
        <w:jc w:val="both"/>
        <w:rPr>
          <w:rFonts w:hint="default" w:ascii="宋体" w:hAnsi="宋体" w:cs="宋体"/>
          <w:color w:val="auto"/>
          <w:sz w:val="24"/>
          <w:szCs w:val="24"/>
          <w:highlight w:val="none"/>
        </w:rPr>
      </w:pPr>
      <w:r>
        <w:rPr>
          <w:rFonts w:hint="eastAsia" w:ascii="宋体" w:hAnsi="宋体" w:cs="宋体"/>
          <w:color w:val="auto"/>
          <w:sz w:val="24"/>
          <w:szCs w:val="24"/>
          <w:highlight w:val="none"/>
        </w:rPr>
        <w:t>Q</w:t>
      </w:r>
      <w:r>
        <w:rPr>
          <w:rFonts w:hint="eastAsia" w:ascii="宋体" w:hAnsi="宋体" w:cs="宋体"/>
          <w:color w:val="auto"/>
          <w:sz w:val="24"/>
          <w:szCs w:val="24"/>
          <w:highlight w:val="none"/>
          <w:vertAlign w:val="subscript"/>
        </w:rPr>
        <w:t>s（jsh）</w:t>
      </w:r>
      <w:r>
        <w:rPr>
          <w:rFonts w:hint="eastAsia" w:ascii="宋体" w:hAnsi="宋体" w:cs="宋体"/>
          <w:color w:val="auto"/>
          <w:sz w:val="24"/>
          <w:szCs w:val="24"/>
          <w:highlight w:val="none"/>
        </w:rPr>
        <w:t>=0.</w:t>
      </w:r>
      <w:r>
        <w:rPr>
          <w:rFonts w:hint="eastAsia" w:ascii="宋体" w:hAnsi="宋体" w:cs="宋体"/>
          <w:color w:val="auto"/>
          <w:sz w:val="24"/>
          <w:szCs w:val="24"/>
          <w:highlight w:val="none"/>
          <w:lang w:val="en-US" w:eastAsia="zh-CN"/>
        </w:rPr>
        <w:t>502</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430.21</w:t>
      </w:r>
      <w:r>
        <w:rPr>
          <w:rFonts w:hint="eastAsia" w:ascii="宋体" w:hAnsi="宋体" w:cs="宋体"/>
          <w:color w:val="auto"/>
          <w:sz w:val="24"/>
          <w:szCs w:val="24"/>
          <w:highlight w:val="none"/>
        </w:rPr>
        <w:t>*</w:t>
      </w:r>
      <w:r>
        <w:rPr>
          <w:rFonts w:hint="eastAsia" w:ascii="宋体" w:hAnsi="宋体" w:eastAsia="宋体" w:cs="宋体"/>
          <w:bCs/>
          <w:color w:val="auto"/>
          <w:sz w:val="24"/>
          <w:szCs w:val="24"/>
          <w:highlight w:val="none"/>
          <w:lang w:val="en-US" w:eastAsia="zh-CN"/>
        </w:rPr>
        <w:t>17557.32</w:t>
      </w:r>
      <w:r>
        <w:rPr>
          <w:rFonts w:hint="eastAsia" w:ascii="宋体" w:hAnsi="宋体" w:cs="宋体"/>
          <w:color w:val="auto"/>
          <w:sz w:val="24"/>
          <w:szCs w:val="24"/>
          <w:highlight w:val="none"/>
        </w:rPr>
        <w:t>/10000=</w:t>
      </w:r>
      <w:r>
        <w:rPr>
          <w:rFonts w:hint="eastAsia" w:ascii="宋体" w:hAnsi="宋体" w:cs="宋体"/>
          <w:color w:val="auto"/>
          <w:sz w:val="24"/>
          <w:szCs w:val="24"/>
          <w:highlight w:val="none"/>
          <w:lang w:val="en-US" w:eastAsia="zh-CN"/>
        </w:rPr>
        <w:t>379.17</w:t>
      </w:r>
      <w:r>
        <w:rPr>
          <w:rFonts w:hint="eastAsia" w:ascii="宋体" w:hAnsi="宋体" w:cs="宋体"/>
          <w:color w:val="auto"/>
          <w:sz w:val="24"/>
          <w:szCs w:val="24"/>
          <w:highlight w:val="none"/>
        </w:rPr>
        <w:t>（L/s）</w:t>
      </w:r>
    </w:p>
    <w:p w14:paraId="5981E072">
      <w:pPr>
        <w:pStyle w:val="40"/>
        <w:keepNext w:val="0"/>
        <w:keepLines w:val="0"/>
        <w:widowControl/>
        <w:numPr>
          <w:ilvl w:val="0"/>
          <w:numId w:val="4"/>
        </w:numPr>
        <w:suppressLineNumbers w:val="0"/>
        <w:spacing w:before="0" w:beforeAutospacing="0" w:after="0" w:afterAutospacing="0" w:line="360" w:lineRule="auto"/>
        <w:ind w:left="470" w:leftChars="0" w:right="0" w:hanging="470" w:firstLineChars="0"/>
        <w:jc w:val="both"/>
        <w:rPr>
          <w:rFonts w:hint="default"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与国家、广东省、广州市雨水径流控制相关文件要求对照</w:t>
      </w:r>
    </w:p>
    <w:p w14:paraId="427A97FE">
      <w:pPr>
        <w:pStyle w:val="40"/>
        <w:keepNext w:val="0"/>
        <w:keepLines w:val="0"/>
        <w:widowControl/>
        <w:suppressLineNumbers w:val="0"/>
        <w:spacing w:before="0" w:beforeAutospacing="0" w:after="0" w:afterAutospacing="0" w:line="360" w:lineRule="auto"/>
        <w:ind w:left="0" w:leftChars="0" w:right="0" w:firstLine="480" w:firstLineChars="20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根据以上计算结果，得出：</w:t>
      </w:r>
    </w:p>
    <w:p w14:paraId="46C0B5F6">
      <w:pPr>
        <w:pStyle w:val="40"/>
        <w:keepNext w:val="0"/>
        <w:keepLines w:val="0"/>
        <w:widowControl/>
        <w:suppressLineNumbers w:val="0"/>
        <w:spacing w:before="0" w:beforeAutospacing="0" w:after="0" w:afterAutospacing="0" w:line="360" w:lineRule="auto"/>
        <w:ind w:left="0" w:leftChars="0" w:right="0" w:firstLine="480" w:firstLineChars="20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建设后的未采取径流控制措施的雨水径流量</w:t>
      </w:r>
      <w:r>
        <w:rPr>
          <w:rFonts w:hint="eastAsia" w:ascii="宋体" w:hAnsi="宋体" w:cs="宋体"/>
          <w:color w:val="auto"/>
          <w:sz w:val="24"/>
          <w:szCs w:val="24"/>
          <w:highlight w:val="none"/>
          <w:lang w:val="en-US" w:eastAsia="zh-CN"/>
        </w:rPr>
        <w:t xml:space="preserve">379.17 </w:t>
      </w:r>
      <w:r>
        <w:rPr>
          <w:rFonts w:hint="eastAsia" w:ascii="宋体" w:hAnsi="宋体" w:cs="宋体"/>
          <w:color w:val="auto"/>
          <w:sz w:val="24"/>
          <w:szCs w:val="24"/>
          <w:highlight w:val="none"/>
          <w:lang w:eastAsia="zh-CN"/>
        </w:rPr>
        <w:t>L/s，建设前的雨水径流量</w:t>
      </w:r>
      <w:r>
        <w:rPr>
          <w:rFonts w:hint="eastAsia" w:ascii="宋体" w:hAnsi="宋体" w:cs="宋体"/>
          <w:color w:val="auto"/>
          <w:sz w:val="24"/>
          <w:szCs w:val="24"/>
          <w:highlight w:val="none"/>
          <w:lang w:val="en-US" w:eastAsia="zh-CN"/>
        </w:rPr>
        <w:t xml:space="preserve">130.67 </w:t>
      </w:r>
      <w:r>
        <w:rPr>
          <w:rFonts w:hint="eastAsia" w:ascii="宋体" w:hAnsi="宋体" w:cs="宋体"/>
          <w:color w:val="auto"/>
          <w:sz w:val="24"/>
          <w:szCs w:val="24"/>
          <w:highlight w:val="none"/>
          <w:lang w:eastAsia="zh-CN"/>
        </w:rPr>
        <w:t>L/s；</w:t>
      </w:r>
    </w:p>
    <w:p w14:paraId="52F094D3">
      <w:pPr>
        <w:pStyle w:val="28"/>
        <w:snapToGrid w:val="0"/>
        <w:ind w:left="0" w:leftChars="0"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项目建设前的径流系数为0.</w:t>
      </w:r>
      <w:r>
        <w:rPr>
          <w:rFonts w:hint="eastAsia" w:ascii="宋体" w:hAnsi="宋体" w:cs="宋体"/>
          <w:color w:val="auto"/>
          <w:sz w:val="24"/>
          <w:szCs w:val="24"/>
          <w:highlight w:val="none"/>
          <w:lang w:val="en-US" w:eastAsia="zh-CN"/>
        </w:rPr>
        <w:t>173</w:t>
      </w:r>
      <w:r>
        <w:rPr>
          <w:rFonts w:hint="eastAsia" w:ascii="宋体" w:hAnsi="宋体" w:cs="宋体"/>
          <w:color w:val="auto"/>
          <w:sz w:val="24"/>
          <w:szCs w:val="24"/>
          <w:highlight w:val="none"/>
          <w:lang w:eastAsia="zh-CN"/>
        </w:rPr>
        <w:t>，项目建设后未采取雨水径流控制措施时综合径流系数为0.</w:t>
      </w:r>
      <w:r>
        <w:rPr>
          <w:rFonts w:hint="eastAsia" w:ascii="宋体" w:hAnsi="宋体" w:cs="宋体"/>
          <w:color w:val="auto"/>
          <w:sz w:val="24"/>
          <w:szCs w:val="24"/>
          <w:highlight w:val="none"/>
          <w:lang w:val="en-US" w:eastAsia="zh-CN"/>
        </w:rPr>
        <w:t>502</w:t>
      </w:r>
      <w:r>
        <w:rPr>
          <w:rFonts w:hint="eastAsia" w:ascii="宋体" w:hAnsi="宋体" w:cs="宋体"/>
          <w:color w:val="auto"/>
          <w:sz w:val="24"/>
          <w:szCs w:val="24"/>
          <w:highlight w:val="none"/>
          <w:lang w:eastAsia="zh-CN"/>
        </w:rPr>
        <w:t>，本工程采用下沉式绿地、透水铺装进行径流控制削减流量。</w:t>
      </w:r>
    </w:p>
    <w:p w14:paraId="6D79D586">
      <w:pPr>
        <w:pStyle w:val="3"/>
        <w:bidi w:val="0"/>
        <w:rPr>
          <w:rFonts w:hint="eastAsia" w:eastAsia="宋体" w:cs="Times New Roman"/>
          <w:color w:val="auto"/>
          <w:highlight w:val="none"/>
          <w:lang w:val="en-US" w:eastAsia="zh-CN"/>
        </w:rPr>
      </w:pPr>
      <w:r>
        <w:rPr>
          <w:rFonts w:hint="eastAsia" w:eastAsia="宋体" w:cs="Times New Roman"/>
          <w:color w:val="auto"/>
          <w:highlight w:val="none"/>
          <w:lang w:val="en-US" w:eastAsia="zh-CN"/>
        </w:rPr>
        <w:t>雨水径流控制</w:t>
      </w:r>
    </w:p>
    <w:p w14:paraId="6E5DC2D3">
      <w:pPr>
        <w:pStyle w:val="40"/>
        <w:keepNext w:val="0"/>
        <w:keepLines w:val="0"/>
        <w:widowControl/>
        <w:suppressLineNumbers w:val="0"/>
        <w:spacing w:before="0" w:beforeAutospacing="0" w:after="0" w:afterAutospacing="0" w:line="360" w:lineRule="auto"/>
        <w:ind w:left="110" w:right="0" w:firstLine="0" w:firstLineChars="0"/>
        <w:jc w:val="both"/>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1）下沉式绿地（本项目</w:t>
      </w:r>
      <w:r>
        <w:rPr>
          <w:rFonts w:hint="eastAsia" w:ascii="宋体" w:hAnsi="宋体" w:eastAsia="宋体" w:cs="宋体"/>
          <w:b/>
          <w:color w:val="auto"/>
          <w:sz w:val="24"/>
          <w:szCs w:val="24"/>
          <w:highlight w:val="none"/>
          <w:lang w:val="zh-CN" w:eastAsia="zh-CN"/>
        </w:rPr>
        <w:t>下沉式绿地面积</w:t>
      </w:r>
      <w:r>
        <w:rPr>
          <w:rFonts w:hint="eastAsia" w:ascii="宋体" w:hAnsi="宋体" w:eastAsia="宋体" w:cs="宋体"/>
          <w:b/>
          <w:color w:val="auto"/>
          <w:sz w:val="24"/>
          <w:szCs w:val="24"/>
          <w:highlight w:val="none"/>
          <w:lang w:val="en-US" w:eastAsia="zh-CN"/>
        </w:rPr>
        <w:t>5137.12</w:t>
      </w:r>
      <w:r>
        <w:rPr>
          <w:rFonts w:hint="eastAsia" w:ascii="宋体" w:hAnsi="宋体" w:eastAsia="宋体" w:cs="宋体"/>
          <w:b/>
          <w:color w:val="auto"/>
          <w:sz w:val="24"/>
          <w:szCs w:val="24"/>
          <w:highlight w:val="none"/>
          <w:lang w:val="zh-CN" w:eastAsia="zh-CN"/>
        </w:rPr>
        <w:t>平方米</w:t>
      </w:r>
      <w:r>
        <w:rPr>
          <w:rFonts w:hint="eastAsia" w:ascii="宋体" w:hAnsi="宋体" w:eastAsia="宋体" w:cs="宋体"/>
          <w:b/>
          <w:color w:val="auto"/>
          <w:sz w:val="24"/>
          <w:szCs w:val="24"/>
          <w:highlight w:val="none"/>
          <w:lang w:val="en-US" w:eastAsia="zh-CN"/>
        </w:rPr>
        <w:t>）</w:t>
      </w:r>
    </w:p>
    <w:p w14:paraId="1CEDEAD9">
      <w:pPr>
        <w:keepNext w:val="0"/>
        <w:keepLines w:val="0"/>
        <w:widowControl/>
        <w:suppressLineNumbers w:val="0"/>
        <w:spacing w:before="0" w:beforeAutospacing="0" w:after="0" w:afterAutospacing="0"/>
        <w:ind w:left="0" w:right="0" w:firstLine="420"/>
        <w:jc w:val="both"/>
        <w:outlineLvl w:val="2"/>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下沉式绿地雨水径流削减量计算</w:t>
      </w:r>
    </w:p>
    <w:p w14:paraId="1EAEB375">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rPr>
      </w:pPr>
      <w:r>
        <w:rPr>
          <w:rFonts w:hint="eastAsia" w:ascii="宋体" w:hAnsi="宋体" w:cs="宋体"/>
          <w:color w:val="auto"/>
          <w:sz w:val="24"/>
          <w:szCs w:val="24"/>
          <w:highlight w:val="none"/>
        </w:rPr>
        <w:object>
          <v:shape id="_x0000_i1025" o:spt="75" type="#_x0000_t75" style="height:35.2pt;width:97.9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14:paraId="2F7E0ADE">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式中：Qxd——下沉式绿地雨水径流削减量（L/s）；</w:t>
      </w:r>
    </w:p>
    <w:p w14:paraId="5D4BE3BB">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Sx——下沉式绿地下渗量（L/s）；</w:t>
      </w:r>
    </w:p>
    <w:p w14:paraId="7B46B878">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Ux——下沉式绿地蓄水量（L）；</w:t>
      </w:r>
    </w:p>
    <w:p w14:paraId="791A6519">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t——降雨历时（min）；</w:t>
      </w:r>
    </w:p>
    <w:p w14:paraId="4B45E3C1">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Tx——下沉式绿地蓄水量排空时间（</w:t>
      </w:r>
      <w:r>
        <w:rPr>
          <w:rFonts w:hint="eastAsia" w:ascii="宋体" w:hAnsi="宋体" w:cs="宋体"/>
          <w:color w:val="000000"/>
          <w:kern w:val="0"/>
          <w:szCs w:val="24"/>
          <w:highlight w:val="yellow"/>
          <w:lang w:val="en-US" w:eastAsia="zh-CN"/>
        </w:rPr>
        <w:t>6.94h，详见2.6.1章节</w:t>
      </w:r>
      <w:r>
        <w:rPr>
          <w:rFonts w:hint="eastAsia" w:ascii="宋体" w:hAnsi="宋体" w:cs="宋体"/>
          <w:color w:val="auto"/>
          <w:sz w:val="24"/>
          <w:szCs w:val="24"/>
          <w:highlight w:val="none"/>
          <w:lang w:eastAsia="zh-CN"/>
        </w:rPr>
        <w:t>）。</w:t>
      </w:r>
    </w:p>
    <w:p w14:paraId="4FFEB9D2">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其中，下渗量计算公式： S=1000</w:t>
      </w:r>
      <w:r>
        <w:rPr>
          <w:rFonts w:hint="eastAsia" w:ascii="宋体" w:hAnsi="宋体" w:cs="宋体"/>
          <w:color w:val="auto"/>
          <w:sz w:val="24"/>
          <w:szCs w:val="24"/>
          <w:highlight w:val="none"/>
        </w:rPr>
        <w:t>α</w:t>
      </w:r>
      <w:r>
        <w:rPr>
          <w:rFonts w:hint="eastAsia" w:ascii="宋体" w:hAnsi="宋体" w:cs="宋体"/>
          <w:color w:val="auto"/>
          <w:sz w:val="24"/>
          <w:szCs w:val="24"/>
          <w:highlight w:val="none"/>
          <w:lang w:eastAsia="zh-CN"/>
        </w:rPr>
        <w:t>KJFa</w:t>
      </w:r>
    </w:p>
    <w:p w14:paraId="18799DF9">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式中：</w:t>
      </w:r>
      <w:r>
        <w:rPr>
          <w:rFonts w:hint="eastAsia" w:ascii="宋体" w:hAnsi="宋体" w:cs="宋体"/>
          <w:color w:val="auto"/>
          <w:sz w:val="24"/>
          <w:szCs w:val="24"/>
          <w:highlight w:val="none"/>
        </w:rPr>
        <w:t>α</w:t>
      </w:r>
      <w:r>
        <w:rPr>
          <w:rFonts w:hint="eastAsia" w:ascii="宋体" w:hAnsi="宋体" w:cs="宋体"/>
          <w:color w:val="auto"/>
          <w:sz w:val="24"/>
          <w:szCs w:val="24"/>
          <w:highlight w:val="none"/>
          <w:lang w:eastAsia="zh-CN"/>
        </w:rPr>
        <w:t>——综合安全系数，一般可取0.5～0.6（本工程0.55）；</w:t>
      </w:r>
    </w:p>
    <w:p w14:paraId="356CD80E">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K——土壤渗透速率（m/s）（本工程考虑土壤下渗）；</w:t>
      </w:r>
    </w:p>
    <w:p w14:paraId="692E13E9">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J——水力坡度，垂直下渗时，J=1；</w:t>
      </w:r>
    </w:p>
    <w:p w14:paraId="315FD2DC">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F</w:t>
      </w:r>
      <w:r>
        <w:rPr>
          <w:rFonts w:hint="eastAsia" w:ascii="宋体" w:hAnsi="宋体" w:cs="宋体"/>
          <w:color w:val="auto"/>
          <w:sz w:val="24"/>
          <w:szCs w:val="24"/>
          <w:highlight w:val="none"/>
          <w:vertAlign w:val="subscript"/>
          <w:lang w:eastAsia="zh-CN"/>
        </w:rPr>
        <w:t>xa</w:t>
      </w:r>
      <w:r>
        <w:rPr>
          <w:rFonts w:hint="eastAsia" w:ascii="宋体" w:hAnsi="宋体" w:cs="宋体"/>
          <w:color w:val="auto"/>
          <w:sz w:val="24"/>
          <w:szCs w:val="24"/>
          <w:highlight w:val="none"/>
          <w:lang w:eastAsia="zh-CN"/>
        </w:rPr>
        <w:t>——下沉式绿地面积（m</w:t>
      </w:r>
      <w:r>
        <w:rPr>
          <w:rFonts w:hint="eastAsia" w:ascii="宋体" w:hAnsi="宋体" w:cs="宋体"/>
          <w:color w:val="auto"/>
          <w:sz w:val="24"/>
          <w:szCs w:val="24"/>
          <w:highlight w:val="none"/>
          <w:vertAlign w:val="superscript"/>
          <w:lang w:eastAsia="zh-CN"/>
        </w:rPr>
        <w:t>2</w:t>
      </w:r>
      <w:r>
        <w:rPr>
          <w:rFonts w:hint="eastAsia" w:ascii="宋体" w:hAnsi="宋体" w:cs="宋体"/>
          <w:color w:val="auto"/>
          <w:sz w:val="24"/>
          <w:szCs w:val="24"/>
          <w:highlight w:val="none"/>
          <w:lang w:eastAsia="zh-CN"/>
        </w:rPr>
        <w:t>）。</w:t>
      </w:r>
    </w:p>
    <w:p w14:paraId="16B81400">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本工程计算如下：</w:t>
      </w:r>
    </w:p>
    <w:p w14:paraId="008EBD6D">
      <w:pPr>
        <w:keepNext w:val="0"/>
        <w:keepLines w:val="0"/>
        <w:widowControl/>
        <w:suppressLineNumbers w:val="0"/>
        <w:spacing w:before="0" w:beforeAutospacing="0" w:after="0" w:afterAutospacing="0"/>
        <w:ind w:left="0" w:right="0" w:firstLine="420"/>
        <w:jc w:val="both"/>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绿地下渗量S</w:t>
      </w:r>
      <w:r>
        <w:rPr>
          <w:rFonts w:hint="eastAsia" w:ascii="宋体" w:hAnsi="宋体" w:cs="宋体"/>
          <w:color w:val="auto"/>
          <w:sz w:val="24"/>
          <w:szCs w:val="24"/>
          <w:highlight w:val="none"/>
          <w:vertAlign w:val="subscript"/>
          <w:lang w:eastAsia="zh-CN"/>
        </w:rPr>
        <w:t>x</w:t>
      </w:r>
      <w:r>
        <w:rPr>
          <w:rFonts w:hint="eastAsia" w:ascii="宋体" w:hAnsi="宋体" w:cs="宋体"/>
          <w:color w:val="auto"/>
          <w:sz w:val="24"/>
          <w:szCs w:val="24"/>
          <w:highlight w:val="none"/>
          <w:lang w:eastAsia="zh-CN"/>
        </w:rPr>
        <w:t>=1000*0.55*（2.5×10</w:t>
      </w:r>
      <w:r>
        <w:rPr>
          <w:rFonts w:hint="eastAsia" w:ascii="宋体" w:hAnsi="宋体" w:cs="宋体"/>
          <w:color w:val="auto"/>
          <w:sz w:val="24"/>
          <w:szCs w:val="24"/>
          <w:highlight w:val="none"/>
          <w:vertAlign w:val="superscript"/>
          <w:lang w:eastAsia="zh-CN"/>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5137.12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70.64</w:t>
      </w:r>
      <w:r>
        <w:rPr>
          <w:rFonts w:hint="eastAsia" w:ascii="宋体" w:hAnsi="宋体" w:cs="宋体"/>
          <w:color w:val="auto"/>
          <w:sz w:val="24"/>
          <w:szCs w:val="24"/>
          <w:highlight w:val="none"/>
          <w:lang w:eastAsia="zh-CN"/>
        </w:rPr>
        <w:t>L/s</w:t>
      </w:r>
    </w:p>
    <w:p w14:paraId="5FED1619">
      <w:pPr>
        <w:keepNext w:val="0"/>
        <w:keepLines w:val="0"/>
        <w:widowControl/>
        <w:suppressLineNumbers w:val="0"/>
        <w:spacing w:before="0" w:beforeAutospacing="0" w:after="0" w:afterAutospacing="0"/>
        <w:ind w:left="0" w:right="0" w:firstLine="420"/>
        <w:jc w:val="both"/>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绿地蓄水量：U</w:t>
      </w:r>
      <w:r>
        <w:rPr>
          <w:rFonts w:hint="eastAsia" w:ascii="宋体" w:hAnsi="宋体" w:cs="宋体"/>
          <w:color w:val="auto"/>
          <w:sz w:val="24"/>
          <w:szCs w:val="24"/>
          <w:highlight w:val="none"/>
          <w:vertAlign w:val="subscript"/>
          <w:lang w:eastAsia="zh-CN"/>
        </w:rPr>
        <w:t>x</w:t>
      </w:r>
      <w:r>
        <w:rPr>
          <w:rFonts w:hint="eastAsia" w:ascii="宋体" w:hAnsi="宋体" w:cs="宋体"/>
          <w:color w:val="auto"/>
          <w:sz w:val="24"/>
          <w:szCs w:val="24"/>
          <w:highlight w:val="none"/>
          <w:lang w:eastAsia="zh-CN"/>
        </w:rPr>
        <w:t>= F</w:t>
      </w:r>
      <w:r>
        <w:rPr>
          <w:rFonts w:hint="eastAsia" w:ascii="宋体" w:hAnsi="宋体" w:cs="宋体"/>
          <w:color w:val="auto"/>
          <w:sz w:val="24"/>
          <w:szCs w:val="24"/>
          <w:highlight w:val="none"/>
          <w:vertAlign w:val="subscript"/>
          <w:lang w:eastAsia="zh-CN"/>
        </w:rPr>
        <w:t>xa</w:t>
      </w:r>
      <w:r>
        <w:rPr>
          <w:rFonts w:hint="eastAsia" w:ascii="宋体" w:hAnsi="宋体" w:cs="宋体"/>
          <w:color w:val="auto"/>
          <w:sz w:val="24"/>
          <w:szCs w:val="24"/>
          <w:highlight w:val="none"/>
          <w:lang w:eastAsia="zh-CN"/>
        </w:rPr>
        <w:t>h</w:t>
      </w:r>
      <w:r>
        <w:rPr>
          <w:rFonts w:hint="eastAsia" w:ascii="宋体" w:hAnsi="宋体" w:cs="宋体"/>
          <w:color w:val="auto"/>
          <w:sz w:val="24"/>
          <w:szCs w:val="24"/>
          <w:highlight w:val="none"/>
          <w:vertAlign w:val="subscript"/>
          <w:lang w:eastAsia="zh-CN"/>
        </w:rPr>
        <w:t>x</w:t>
      </w:r>
      <w:r>
        <w:rPr>
          <w:rFonts w:hint="eastAsia" w:ascii="宋体" w:hAnsi="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5137.12</w:t>
      </w:r>
      <w:r>
        <w:rPr>
          <w:rFonts w:hint="eastAsia" w:ascii="宋体" w:hAnsi="宋体" w:cs="宋体"/>
          <w:bCs/>
          <w:color w:val="auto"/>
          <w:sz w:val="24"/>
          <w:szCs w:val="24"/>
          <w:highlight w:val="none"/>
          <w:lang w:eastAsia="zh-CN"/>
        </w:rPr>
        <w:t>*0.15</w:t>
      </w:r>
      <w:r>
        <w:rPr>
          <w:rFonts w:hint="eastAsia" w:ascii="宋体" w:hAnsi="宋体" w:cs="宋体"/>
          <w:color w:val="auto"/>
          <w:sz w:val="24"/>
          <w:szCs w:val="24"/>
          <w:highlight w:val="none"/>
          <w:lang w:eastAsia="zh-CN"/>
        </w:rPr>
        <w:t>（平均下沉深度0.15m ）=</w:t>
      </w:r>
      <w:r>
        <w:rPr>
          <w:rFonts w:hint="eastAsia" w:ascii="宋体" w:hAnsi="宋体" w:cs="宋体"/>
          <w:color w:val="auto"/>
          <w:sz w:val="24"/>
          <w:szCs w:val="24"/>
          <w:highlight w:val="none"/>
          <w:lang w:val="en-US" w:eastAsia="zh-CN"/>
        </w:rPr>
        <w:t xml:space="preserve">770.568m³=770568 </w:t>
      </w:r>
      <w:r>
        <w:rPr>
          <w:rFonts w:hint="eastAsia" w:ascii="宋体" w:hAnsi="宋体" w:cs="宋体"/>
          <w:color w:val="auto"/>
          <w:sz w:val="24"/>
          <w:szCs w:val="24"/>
          <w:highlight w:val="none"/>
          <w:lang w:eastAsia="zh-CN"/>
        </w:rPr>
        <w:t>L</w:t>
      </w:r>
    </w:p>
    <w:p w14:paraId="65F83C14">
      <w:pPr>
        <w:keepNext w:val="0"/>
        <w:keepLines w:val="0"/>
        <w:widowControl/>
        <w:suppressLineNumbers w:val="0"/>
        <w:spacing w:before="0" w:beforeAutospacing="0" w:after="0" w:afterAutospacing="0"/>
        <w:ind w:left="0" w:right="0" w:firstLine="420"/>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下沉式绿地雨水径流削减量：</w:t>
      </w:r>
    </w:p>
    <w:p w14:paraId="3788B083">
      <w:pPr>
        <w:keepNext w:val="0"/>
        <w:keepLines w:val="0"/>
        <w:widowControl/>
        <w:suppressLineNumbers w:val="0"/>
        <w:spacing w:before="0" w:beforeAutospacing="0" w:after="0" w:afterAutospacing="0"/>
        <w:ind w:left="0" w:right="0" w:firstLine="420"/>
        <w:jc w:val="both"/>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Q</w:t>
      </w:r>
      <w:r>
        <w:rPr>
          <w:rFonts w:hint="eastAsia" w:ascii="宋体" w:hAnsi="宋体" w:cs="宋体"/>
          <w:color w:val="auto"/>
          <w:sz w:val="24"/>
          <w:szCs w:val="24"/>
          <w:highlight w:val="none"/>
          <w:vertAlign w:val="subscript"/>
          <w:lang w:eastAsia="zh-CN"/>
        </w:rPr>
        <w:t>xd</w:t>
      </w:r>
      <w:r>
        <w:rPr>
          <w:rFonts w:hint="eastAsia" w:ascii="宋体" w:hAnsi="宋体" w:cs="宋体"/>
          <w:color w:val="auto"/>
          <w:sz w:val="24"/>
          <w:szCs w:val="24"/>
          <w:highlight w:val="none"/>
          <w:lang w:eastAsia="zh-CN"/>
        </w:rPr>
        <w:t xml:space="preserve"> =</w:t>
      </w:r>
      <w:r>
        <w:rPr>
          <w:rFonts w:hint="eastAsia" w:ascii="宋体" w:hAnsi="宋体" w:cs="宋体"/>
          <w:color w:val="auto"/>
          <w:sz w:val="24"/>
          <w:szCs w:val="24"/>
          <w:highlight w:val="none"/>
          <w:lang w:val="en-US" w:eastAsia="zh-CN"/>
        </w:rPr>
        <w:t>770568</w:t>
      </w:r>
      <w:r>
        <w:rPr>
          <w:rFonts w:hint="eastAsia" w:ascii="宋体" w:hAnsi="宋体" w:cs="宋体"/>
          <w:color w:val="auto"/>
          <w:sz w:val="24"/>
          <w:szCs w:val="24"/>
          <w:highlight w:val="none"/>
          <w:lang w:eastAsia="zh-CN"/>
        </w:rPr>
        <w:t>/60/10-</w:t>
      </w:r>
      <w:r>
        <w:rPr>
          <w:rFonts w:hint="eastAsia" w:ascii="宋体" w:hAnsi="宋体" w:cs="宋体"/>
          <w:color w:val="auto"/>
          <w:sz w:val="24"/>
          <w:szCs w:val="24"/>
          <w:highlight w:val="none"/>
          <w:lang w:val="en-US" w:eastAsia="zh-CN"/>
        </w:rPr>
        <w:t>770568</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yellow"/>
          <w:lang w:val="en-US" w:eastAsia="zh-CN"/>
        </w:rPr>
        <w:t>6.94</w:t>
      </w:r>
      <w:r>
        <w:rPr>
          <w:rFonts w:hint="eastAsia" w:ascii="宋体" w:hAnsi="宋体" w:cs="宋体"/>
          <w:color w:val="auto"/>
          <w:sz w:val="24"/>
          <w:szCs w:val="24"/>
          <w:highlight w:val="none"/>
          <w:lang w:val="en-US" w:eastAsia="zh-CN"/>
        </w:rPr>
        <w:t>/60</w:t>
      </w:r>
      <w:r>
        <w:rPr>
          <w:rFonts w:hint="eastAsia" w:ascii="宋体" w:hAnsi="宋体" w:cs="宋体"/>
          <w:color w:val="auto"/>
          <w:sz w:val="24"/>
          <w:szCs w:val="24"/>
          <w:highlight w:val="none"/>
          <w:lang w:eastAsia="zh-CN"/>
        </w:rPr>
        <w:t>/60/1+</w:t>
      </w:r>
      <w:r>
        <w:rPr>
          <w:rFonts w:hint="eastAsia" w:ascii="宋体" w:hAnsi="宋体" w:cs="宋体"/>
          <w:color w:val="auto"/>
          <w:sz w:val="24"/>
          <w:szCs w:val="24"/>
          <w:highlight w:val="none"/>
          <w:lang w:val="en-US" w:eastAsia="zh-CN"/>
        </w:rPr>
        <w:t>70.64</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yellow"/>
          <w:lang w:val="en-US" w:eastAsia="zh-CN"/>
        </w:rPr>
        <w:t>1324.08</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L/s</w:t>
      </w:r>
    </w:p>
    <w:p w14:paraId="5231181F">
      <w:pPr>
        <w:keepNext w:val="0"/>
        <w:keepLines w:val="0"/>
        <w:widowControl/>
        <w:suppressLineNumbers w:val="0"/>
        <w:spacing w:before="0" w:beforeAutospacing="0" w:after="0" w:afterAutospacing="0"/>
        <w:ind w:left="0" w:right="0"/>
        <w:jc w:val="both"/>
        <w:rPr>
          <w:rFonts w:hint="default" w:ascii="宋体" w:hAnsi="宋体" w:cs="宋体"/>
          <w:b/>
          <w:color w:val="auto"/>
          <w:sz w:val="24"/>
          <w:szCs w:val="24"/>
          <w:highlight w:val="none"/>
          <w:lang w:eastAsia="zh-CN"/>
        </w:rPr>
      </w:pPr>
      <w:r>
        <w:rPr>
          <w:rFonts w:hint="eastAsia" w:ascii="宋体" w:hAnsi="宋体" w:cs="宋体"/>
          <w:b/>
          <w:color w:val="auto"/>
          <w:sz w:val="24"/>
          <w:szCs w:val="24"/>
          <w:highlight w:val="none"/>
          <w:lang w:val="en-US" w:eastAsia="zh-CN"/>
        </w:rPr>
        <w:t>2</w:t>
      </w:r>
      <w:r>
        <w:rPr>
          <w:rFonts w:hint="eastAsia" w:ascii="宋体" w:hAnsi="宋体" w:cs="宋体"/>
          <w:b/>
          <w:color w:val="auto"/>
          <w:sz w:val="24"/>
          <w:szCs w:val="24"/>
          <w:highlight w:val="none"/>
          <w:lang w:eastAsia="zh-CN"/>
        </w:rPr>
        <w:t>）雨水径年径流总量控制率</w:t>
      </w:r>
    </w:p>
    <w:p w14:paraId="03AA514E">
      <w:pPr>
        <w:keepNext w:val="0"/>
        <w:keepLines w:val="0"/>
        <w:widowControl/>
        <w:suppressLineNumbers w:val="0"/>
        <w:spacing w:before="0" w:beforeAutospacing="0" w:after="0" w:afterAutospacing="0"/>
        <w:ind w:left="0" w:right="0" w:firstLine="470" w:firstLineChars="196"/>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（1）计算公式：</w:t>
      </w:r>
    </w:p>
    <w:p w14:paraId="09259BAA">
      <w:pPr>
        <w:keepNext w:val="0"/>
        <w:keepLines w:val="0"/>
        <w:widowControl/>
        <w:suppressLineNumbers w:val="0"/>
        <w:spacing w:before="0" w:beforeAutospacing="0" w:after="0" w:afterAutospacing="0"/>
        <w:ind w:left="0" w:right="0" w:firstLine="470" w:firstLineChars="196"/>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设计调蓄容积一般采用容积法进行计算，公式如下：V=10H</w:t>
      </w:r>
      <w:r>
        <w:rPr>
          <w:rFonts w:hint="eastAsia" w:ascii="宋体" w:hAnsi="宋体" w:cs="宋体"/>
          <w:color w:val="auto"/>
          <w:sz w:val="24"/>
          <w:szCs w:val="24"/>
          <w:highlight w:val="none"/>
        </w:rPr>
        <w:t>Ψ</w:t>
      </w:r>
      <w:r>
        <w:rPr>
          <w:rFonts w:hint="eastAsia" w:ascii="宋体" w:hAnsi="宋体" w:cs="宋体"/>
          <w:color w:val="auto"/>
          <w:sz w:val="24"/>
          <w:szCs w:val="24"/>
          <w:highlight w:val="none"/>
          <w:lang w:eastAsia="zh-CN"/>
        </w:rPr>
        <w:t>F</w:t>
      </w:r>
    </w:p>
    <w:p w14:paraId="7861A017">
      <w:pPr>
        <w:keepNext w:val="0"/>
        <w:keepLines w:val="0"/>
        <w:widowControl/>
        <w:suppressLineNumbers w:val="0"/>
        <w:spacing w:before="0" w:beforeAutospacing="0" w:after="0" w:afterAutospacing="0"/>
        <w:ind w:left="0" w:right="0" w:firstLine="470" w:firstLineChars="196"/>
        <w:jc w:val="both"/>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式中V调一设计调蓄容积，m</w:t>
      </w:r>
      <w:r>
        <w:rPr>
          <w:rFonts w:hint="eastAsia" w:ascii="宋体" w:hAnsi="宋体" w:cs="宋体"/>
          <w:color w:val="auto"/>
          <w:sz w:val="24"/>
          <w:szCs w:val="24"/>
          <w:highlight w:val="none"/>
          <w:vertAlign w:val="superscript"/>
          <w:lang w:eastAsia="zh-CN"/>
        </w:rPr>
        <w:t>3</w:t>
      </w:r>
      <w:r>
        <w:rPr>
          <w:rFonts w:hint="eastAsia" w:ascii="宋体" w:hAnsi="宋体" w:cs="宋体"/>
          <w:color w:val="auto"/>
          <w:sz w:val="24"/>
          <w:szCs w:val="24"/>
          <w:highlight w:val="none"/>
          <w:lang w:eastAsia="zh-CN"/>
        </w:rPr>
        <w:t>；H—设计降雨量，mm；</w:t>
      </w:r>
      <w:r>
        <w:rPr>
          <w:rFonts w:hint="eastAsia" w:ascii="宋体" w:hAnsi="宋体" w:cs="宋体"/>
          <w:color w:val="auto"/>
          <w:sz w:val="24"/>
          <w:szCs w:val="24"/>
          <w:highlight w:val="none"/>
        </w:rPr>
        <w:t>Ψ</w:t>
      </w:r>
      <w:r>
        <w:rPr>
          <w:rFonts w:hint="eastAsia" w:ascii="宋体" w:hAnsi="宋体" w:cs="宋体"/>
          <w:color w:val="auto"/>
          <w:sz w:val="24"/>
          <w:szCs w:val="24"/>
          <w:highlight w:val="none"/>
          <w:lang w:eastAsia="zh-CN"/>
        </w:rPr>
        <w:t>—综合雨量径流系数；F—汇水面积，hm</w:t>
      </w:r>
      <w:r>
        <w:rPr>
          <w:rFonts w:hint="eastAsia" w:ascii="宋体" w:hAnsi="宋体" w:cs="宋体"/>
          <w:color w:val="auto"/>
          <w:sz w:val="24"/>
          <w:szCs w:val="24"/>
          <w:highlight w:val="none"/>
          <w:vertAlign w:val="superscript"/>
          <w:lang w:eastAsia="zh-CN"/>
        </w:rPr>
        <w:t>2</w:t>
      </w:r>
      <w:r>
        <w:rPr>
          <w:rFonts w:hint="eastAsia" w:ascii="宋体" w:hAnsi="宋体" w:cs="宋体"/>
          <w:color w:val="auto"/>
          <w:sz w:val="24"/>
          <w:szCs w:val="24"/>
          <w:highlight w:val="none"/>
          <w:lang w:eastAsia="zh-CN"/>
        </w:rPr>
        <w:t>。其中设计降雨量按照表3.1确定，当年径流总量控制率为中间数值时，设计降雨量可用内插法求得</w:t>
      </w:r>
    </w:p>
    <w:p w14:paraId="1462E7B5">
      <w:pPr>
        <w:keepNext w:val="0"/>
        <w:keepLines w:val="0"/>
        <w:widowControl/>
        <w:suppressLineNumbers w:val="0"/>
        <w:spacing w:before="0" w:beforeAutospacing="0" w:after="0" w:afterAutospacing="0"/>
        <w:ind w:left="0" w:right="0" w:firstLine="470" w:firstLineChars="196"/>
        <w:jc w:val="both"/>
        <w:rPr>
          <w:rFonts w:hint="eastAsia" w:ascii="宋体" w:hAnsi="宋体" w:cs="宋体"/>
          <w:color w:val="auto"/>
          <w:sz w:val="24"/>
          <w:szCs w:val="24"/>
          <w:highlight w:val="none"/>
          <w:lang w:eastAsia="zh-CN"/>
        </w:rPr>
      </w:pPr>
    </w:p>
    <w:p w14:paraId="72B27FA3">
      <w:pPr>
        <w:keepNext w:val="0"/>
        <w:keepLines w:val="0"/>
        <w:widowControl/>
        <w:suppressLineNumbers w:val="0"/>
        <w:spacing w:before="0" w:beforeAutospacing="0" w:after="0" w:afterAutospacing="0"/>
        <w:ind w:left="0" w:right="0" w:firstLine="470" w:firstLineChars="196"/>
        <w:jc w:val="both"/>
        <w:rPr>
          <w:rFonts w:hint="eastAsia" w:ascii="宋体" w:hAnsi="宋体" w:cs="宋体"/>
          <w:color w:val="auto"/>
          <w:sz w:val="24"/>
          <w:szCs w:val="24"/>
          <w:highlight w:val="none"/>
          <w:lang w:eastAsia="zh-CN"/>
        </w:rPr>
      </w:pPr>
    </w:p>
    <w:p w14:paraId="202C7896">
      <w:pPr>
        <w:keepNext w:val="0"/>
        <w:keepLines w:val="0"/>
        <w:widowControl/>
        <w:suppressLineNumbers w:val="0"/>
        <w:spacing w:before="0" w:beforeAutospacing="0" w:after="0" w:afterAutospacing="0"/>
        <w:ind w:left="0" w:right="0" w:firstLine="470" w:firstLineChars="196"/>
        <w:jc w:val="both"/>
        <w:rPr>
          <w:rFonts w:hint="default" w:ascii="宋体" w:hAnsi="宋体" w:cs="宋体"/>
          <w:color w:val="auto"/>
          <w:sz w:val="24"/>
          <w:szCs w:val="24"/>
          <w:highlight w:val="none"/>
          <w:lang w:eastAsia="zh-CN"/>
        </w:rPr>
      </w:pPr>
    </w:p>
    <w:p w14:paraId="0E43551D">
      <w:pPr>
        <w:keepNext w:val="0"/>
        <w:keepLines w:val="0"/>
        <w:widowControl/>
        <w:suppressLineNumbers w:val="0"/>
        <w:spacing w:before="0" w:beforeAutospacing="0" w:after="0" w:afterAutospacing="0"/>
        <w:ind w:left="0" w:right="0" w:firstLine="422"/>
        <w:jc w:val="center"/>
        <w:rPr>
          <w:rFonts w:hint="default" w:ascii="宋体" w:hAnsi="宋体" w:cs="宋体"/>
          <w:b/>
          <w:color w:val="auto"/>
          <w:sz w:val="21"/>
          <w:szCs w:val="21"/>
          <w:highlight w:val="none"/>
          <w:lang w:eastAsia="zh-CN"/>
        </w:rPr>
      </w:pPr>
      <w:r>
        <w:rPr>
          <w:rFonts w:hint="eastAsia" w:ascii="宋体" w:hAnsi="宋体" w:cs="宋体"/>
          <w:b/>
          <w:color w:val="auto"/>
          <w:sz w:val="21"/>
          <w:szCs w:val="21"/>
          <w:highlight w:val="none"/>
          <w:lang w:eastAsia="zh-CN"/>
        </w:rPr>
        <w:t>广州市的年径流总量控制率与设计降水量的对应曲线和表格</w:t>
      </w:r>
    </w:p>
    <w:p w14:paraId="156E40F8">
      <w:pPr>
        <w:keepNext w:val="0"/>
        <w:keepLines w:val="0"/>
        <w:widowControl/>
        <w:suppressLineNumbers w:val="0"/>
        <w:spacing w:before="0" w:beforeAutospacing="0" w:after="0" w:afterAutospacing="0"/>
        <w:ind w:left="0" w:right="0" w:firstLine="42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drawing>
          <wp:inline distT="0" distB="0" distL="114300" distR="114300">
            <wp:extent cx="3877310" cy="2329815"/>
            <wp:effectExtent l="0" t="0" r="8890" b="13335"/>
            <wp:docPr id="7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5"/>
                    <pic:cNvPicPr>
                      <a:picLocks noChangeAspect="1"/>
                    </pic:cNvPicPr>
                  </pic:nvPicPr>
                  <pic:blipFill>
                    <a:blip r:embed="rId15"/>
                    <a:stretch>
                      <a:fillRect/>
                    </a:stretch>
                  </pic:blipFill>
                  <pic:spPr>
                    <a:xfrm>
                      <a:off x="0" y="0"/>
                      <a:ext cx="3877310" cy="2329815"/>
                    </a:xfrm>
                    <a:prstGeom prst="rect">
                      <a:avLst/>
                    </a:prstGeom>
                    <a:noFill/>
                    <a:ln>
                      <a:noFill/>
                    </a:ln>
                  </pic:spPr>
                </pic:pic>
              </a:graphicData>
            </a:graphic>
          </wp:inline>
        </w:drawing>
      </w:r>
    </w:p>
    <w:tbl>
      <w:tblPr>
        <w:tblStyle w:val="17"/>
        <w:tblW w:w="4721" w:type="pct"/>
        <w:tblInd w:w="421" w:type="dxa"/>
        <w:tblLayout w:type="autofit"/>
        <w:tblCellMar>
          <w:top w:w="0" w:type="dxa"/>
          <w:left w:w="108" w:type="dxa"/>
          <w:bottom w:w="0" w:type="dxa"/>
          <w:right w:w="108" w:type="dxa"/>
        </w:tblCellMar>
      </w:tblPr>
      <w:tblGrid>
        <w:gridCol w:w="1864"/>
        <w:gridCol w:w="1155"/>
        <w:gridCol w:w="1268"/>
        <w:gridCol w:w="1187"/>
        <w:gridCol w:w="1116"/>
        <w:gridCol w:w="1098"/>
        <w:gridCol w:w="1096"/>
        <w:gridCol w:w="1102"/>
      </w:tblGrid>
      <w:tr w14:paraId="71048B69">
        <w:tblPrEx>
          <w:tblCellMar>
            <w:top w:w="0" w:type="dxa"/>
            <w:left w:w="108" w:type="dxa"/>
            <w:bottom w:w="0" w:type="dxa"/>
            <w:right w:w="108" w:type="dxa"/>
          </w:tblCellMar>
        </w:tblPrEx>
        <w:trPr>
          <w:trHeight w:val="743" w:hRule="atLeast"/>
        </w:trPr>
        <w:tc>
          <w:tcPr>
            <w:tcW w:w="942" w:type="pct"/>
            <w:tcBorders>
              <w:top w:val="single" w:color="auto" w:sz="4" w:space="0"/>
              <w:left w:val="single" w:color="auto" w:sz="4" w:space="0"/>
              <w:bottom w:val="single" w:color="auto" w:sz="4" w:space="0"/>
              <w:right w:val="single" w:color="auto" w:sz="4" w:space="0"/>
            </w:tcBorders>
            <w:vAlign w:val="center"/>
          </w:tcPr>
          <w:p w14:paraId="2F6B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年径流总量控制率</w:t>
            </w:r>
          </w:p>
        </w:tc>
        <w:tc>
          <w:tcPr>
            <w:tcW w:w="584" w:type="pct"/>
            <w:tcBorders>
              <w:top w:val="single" w:color="auto" w:sz="4" w:space="0"/>
              <w:left w:val="nil"/>
              <w:bottom w:val="single" w:color="auto" w:sz="4" w:space="0"/>
              <w:right w:val="single" w:color="auto" w:sz="4" w:space="0"/>
            </w:tcBorders>
            <w:vAlign w:val="center"/>
          </w:tcPr>
          <w:p w14:paraId="234371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55%</w:t>
            </w:r>
          </w:p>
        </w:tc>
        <w:tc>
          <w:tcPr>
            <w:tcW w:w="641" w:type="pct"/>
            <w:tcBorders>
              <w:top w:val="single" w:color="auto" w:sz="4" w:space="0"/>
              <w:left w:val="nil"/>
              <w:bottom w:val="single" w:color="auto" w:sz="4" w:space="0"/>
              <w:right w:val="single" w:color="auto" w:sz="4" w:space="0"/>
            </w:tcBorders>
            <w:vAlign w:val="center"/>
          </w:tcPr>
          <w:p w14:paraId="368C36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60%</w:t>
            </w:r>
          </w:p>
        </w:tc>
        <w:tc>
          <w:tcPr>
            <w:tcW w:w="600" w:type="pct"/>
            <w:tcBorders>
              <w:top w:val="single" w:color="auto" w:sz="4" w:space="0"/>
              <w:left w:val="nil"/>
              <w:bottom w:val="single" w:color="auto" w:sz="4" w:space="0"/>
              <w:right w:val="single" w:color="auto" w:sz="4" w:space="0"/>
            </w:tcBorders>
            <w:vAlign w:val="center"/>
          </w:tcPr>
          <w:p w14:paraId="732A15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65%</w:t>
            </w:r>
          </w:p>
        </w:tc>
        <w:tc>
          <w:tcPr>
            <w:tcW w:w="564" w:type="pct"/>
            <w:tcBorders>
              <w:top w:val="single" w:color="auto" w:sz="4" w:space="0"/>
              <w:left w:val="nil"/>
              <w:bottom w:val="single" w:color="auto" w:sz="4" w:space="0"/>
              <w:right w:val="single" w:color="auto" w:sz="4" w:space="0"/>
            </w:tcBorders>
            <w:vAlign w:val="center"/>
          </w:tcPr>
          <w:p w14:paraId="68D88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70%</w:t>
            </w:r>
          </w:p>
        </w:tc>
        <w:tc>
          <w:tcPr>
            <w:tcW w:w="555" w:type="pct"/>
            <w:tcBorders>
              <w:top w:val="single" w:color="auto" w:sz="4" w:space="0"/>
              <w:left w:val="nil"/>
              <w:bottom w:val="single" w:color="auto" w:sz="4" w:space="0"/>
              <w:right w:val="single" w:color="auto" w:sz="4" w:space="0"/>
            </w:tcBorders>
            <w:vAlign w:val="center"/>
          </w:tcPr>
          <w:p w14:paraId="68217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75%</w:t>
            </w:r>
          </w:p>
        </w:tc>
        <w:tc>
          <w:tcPr>
            <w:tcW w:w="554" w:type="pct"/>
            <w:tcBorders>
              <w:top w:val="single" w:color="auto" w:sz="4" w:space="0"/>
              <w:left w:val="nil"/>
              <w:bottom w:val="single" w:color="auto" w:sz="4" w:space="0"/>
              <w:right w:val="single" w:color="auto" w:sz="4" w:space="0"/>
            </w:tcBorders>
            <w:vAlign w:val="center"/>
          </w:tcPr>
          <w:p w14:paraId="73826E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80%</w:t>
            </w:r>
          </w:p>
        </w:tc>
        <w:tc>
          <w:tcPr>
            <w:tcW w:w="557" w:type="pct"/>
            <w:tcBorders>
              <w:top w:val="single" w:color="auto" w:sz="4" w:space="0"/>
              <w:left w:val="nil"/>
              <w:bottom w:val="single" w:color="auto" w:sz="4" w:space="0"/>
              <w:right w:val="single" w:color="auto" w:sz="4" w:space="0"/>
            </w:tcBorders>
            <w:vAlign w:val="center"/>
          </w:tcPr>
          <w:p w14:paraId="1C7A00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85%</w:t>
            </w:r>
          </w:p>
        </w:tc>
      </w:tr>
      <w:tr w14:paraId="706F9701">
        <w:tblPrEx>
          <w:tblCellMar>
            <w:top w:w="0" w:type="dxa"/>
            <w:left w:w="108" w:type="dxa"/>
            <w:bottom w:w="0" w:type="dxa"/>
            <w:right w:w="108" w:type="dxa"/>
          </w:tblCellMar>
        </w:tblPrEx>
        <w:trPr>
          <w:trHeight w:val="420" w:hRule="atLeast"/>
        </w:trPr>
        <w:tc>
          <w:tcPr>
            <w:tcW w:w="942" w:type="pct"/>
            <w:tcBorders>
              <w:top w:val="nil"/>
              <w:left w:val="single" w:color="auto" w:sz="4" w:space="0"/>
              <w:bottom w:val="single" w:color="auto" w:sz="4" w:space="0"/>
              <w:right w:val="single" w:color="auto" w:sz="4" w:space="0"/>
            </w:tcBorders>
            <w:vAlign w:val="center"/>
          </w:tcPr>
          <w:p w14:paraId="6C248C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设计降雨量（mm）</w:t>
            </w:r>
          </w:p>
        </w:tc>
        <w:tc>
          <w:tcPr>
            <w:tcW w:w="584" w:type="pct"/>
            <w:tcBorders>
              <w:top w:val="nil"/>
              <w:left w:val="nil"/>
              <w:bottom w:val="single" w:color="auto" w:sz="4" w:space="0"/>
              <w:right w:val="single" w:color="auto" w:sz="4" w:space="0"/>
            </w:tcBorders>
            <w:vAlign w:val="center"/>
          </w:tcPr>
          <w:p w14:paraId="79CB19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14.3</w:t>
            </w:r>
          </w:p>
        </w:tc>
        <w:tc>
          <w:tcPr>
            <w:tcW w:w="641" w:type="pct"/>
            <w:tcBorders>
              <w:top w:val="nil"/>
              <w:left w:val="nil"/>
              <w:bottom w:val="single" w:color="auto" w:sz="4" w:space="0"/>
              <w:right w:val="single" w:color="auto" w:sz="4" w:space="0"/>
            </w:tcBorders>
            <w:vAlign w:val="center"/>
          </w:tcPr>
          <w:p w14:paraId="65618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18.9</w:t>
            </w:r>
          </w:p>
        </w:tc>
        <w:tc>
          <w:tcPr>
            <w:tcW w:w="600" w:type="pct"/>
            <w:tcBorders>
              <w:top w:val="nil"/>
              <w:left w:val="nil"/>
              <w:bottom w:val="single" w:color="auto" w:sz="4" w:space="0"/>
              <w:right w:val="single" w:color="auto" w:sz="4" w:space="0"/>
            </w:tcBorders>
            <w:vAlign w:val="center"/>
          </w:tcPr>
          <w:p w14:paraId="53AF04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22.1</w:t>
            </w:r>
          </w:p>
        </w:tc>
        <w:tc>
          <w:tcPr>
            <w:tcW w:w="564" w:type="pct"/>
            <w:tcBorders>
              <w:top w:val="nil"/>
              <w:left w:val="nil"/>
              <w:bottom w:val="single" w:color="auto" w:sz="4" w:space="0"/>
              <w:right w:val="single" w:color="auto" w:sz="4" w:space="0"/>
            </w:tcBorders>
            <w:vAlign w:val="center"/>
          </w:tcPr>
          <w:p w14:paraId="64FFC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25.8</w:t>
            </w:r>
          </w:p>
        </w:tc>
        <w:tc>
          <w:tcPr>
            <w:tcW w:w="555" w:type="pct"/>
            <w:tcBorders>
              <w:top w:val="nil"/>
              <w:left w:val="nil"/>
              <w:bottom w:val="single" w:color="auto" w:sz="4" w:space="0"/>
              <w:right w:val="single" w:color="auto" w:sz="4" w:space="0"/>
            </w:tcBorders>
            <w:vAlign w:val="center"/>
          </w:tcPr>
          <w:p w14:paraId="14065B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30.3</w:t>
            </w:r>
          </w:p>
        </w:tc>
        <w:tc>
          <w:tcPr>
            <w:tcW w:w="554" w:type="pct"/>
            <w:tcBorders>
              <w:top w:val="nil"/>
              <w:left w:val="nil"/>
              <w:bottom w:val="single" w:color="auto" w:sz="4" w:space="0"/>
              <w:right w:val="single" w:color="auto" w:sz="4" w:space="0"/>
            </w:tcBorders>
            <w:vAlign w:val="center"/>
          </w:tcPr>
          <w:p w14:paraId="22CBA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36</w:t>
            </w:r>
          </w:p>
        </w:tc>
        <w:tc>
          <w:tcPr>
            <w:tcW w:w="557" w:type="pct"/>
            <w:tcBorders>
              <w:top w:val="nil"/>
              <w:left w:val="nil"/>
              <w:bottom w:val="single" w:color="auto" w:sz="4" w:space="0"/>
              <w:right w:val="single" w:color="auto" w:sz="4" w:space="0"/>
            </w:tcBorders>
            <w:vAlign w:val="center"/>
          </w:tcPr>
          <w:p w14:paraId="769110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both"/>
              <w:textAlignment w:val="auto"/>
              <w:rPr>
                <w:rFonts w:hint="default" w:ascii="宋体" w:hAnsi="宋体" w:cs="宋体"/>
                <w:bCs/>
                <w:color w:val="auto"/>
                <w:sz w:val="21"/>
                <w:szCs w:val="21"/>
                <w:highlight w:val="none"/>
                <w:lang w:eastAsia="zh-CN"/>
              </w:rPr>
            </w:pPr>
            <w:r>
              <w:rPr>
                <w:rFonts w:hint="eastAsia" w:ascii="宋体" w:hAnsi="宋体" w:cs="宋体"/>
                <w:bCs/>
                <w:color w:val="auto"/>
                <w:sz w:val="21"/>
                <w:szCs w:val="21"/>
                <w:highlight w:val="none"/>
                <w:lang w:eastAsia="zh-CN"/>
              </w:rPr>
              <w:t>43.7</w:t>
            </w:r>
          </w:p>
        </w:tc>
      </w:tr>
    </w:tbl>
    <w:p w14:paraId="00735838">
      <w:pPr>
        <w:keepNext w:val="0"/>
        <w:keepLines w:val="0"/>
        <w:widowControl/>
        <w:suppressLineNumbers w:val="0"/>
        <w:spacing w:before="0" w:beforeAutospacing="0" w:after="0" w:afterAutospacing="0"/>
        <w:ind w:left="0" w:right="0" w:firstLine="470" w:firstLineChars="196"/>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（2）本工程调蓄容积：</w:t>
      </w:r>
    </w:p>
    <w:p w14:paraId="3CE528DB">
      <w:pPr>
        <w:keepNext w:val="0"/>
        <w:keepLines w:val="0"/>
        <w:widowControl/>
        <w:suppressLineNumbers w:val="0"/>
        <w:spacing w:before="0" w:beforeAutospacing="0" w:after="0" w:afterAutospacing="0"/>
        <w:ind w:left="0" w:right="0" w:firstLine="470" w:firstLineChars="196"/>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本工程绿地（下沉式绿地）面积为</w:t>
      </w:r>
      <w:r>
        <w:rPr>
          <w:rFonts w:hint="eastAsia" w:ascii="宋体" w:hAnsi="宋体" w:eastAsia="宋体" w:cs="宋体"/>
          <w:color w:val="auto"/>
          <w:sz w:val="24"/>
          <w:szCs w:val="24"/>
          <w:highlight w:val="none"/>
          <w:lang w:val="en-US" w:eastAsia="zh-CN"/>
        </w:rPr>
        <w:t>5137.12</w:t>
      </w:r>
      <w:r>
        <w:rPr>
          <w:rFonts w:hint="eastAsia" w:ascii="宋体" w:hAnsi="宋体" w:cs="宋体"/>
          <w:color w:val="auto"/>
          <w:sz w:val="24"/>
          <w:szCs w:val="24"/>
          <w:highlight w:val="none"/>
          <w:lang w:eastAsia="zh-CN"/>
        </w:rPr>
        <w:t>平方米，绿地蓄水量：U</w:t>
      </w:r>
      <w:r>
        <w:rPr>
          <w:rFonts w:hint="eastAsia" w:ascii="宋体" w:hAnsi="宋体" w:cs="宋体"/>
          <w:color w:val="auto"/>
          <w:sz w:val="24"/>
          <w:szCs w:val="24"/>
          <w:highlight w:val="none"/>
          <w:vertAlign w:val="subscript"/>
          <w:lang w:eastAsia="zh-CN"/>
        </w:rPr>
        <w:t>x</w:t>
      </w:r>
      <w:r>
        <w:rPr>
          <w:rFonts w:hint="eastAsia" w:ascii="宋体" w:hAnsi="宋体" w:cs="宋体"/>
          <w:color w:val="auto"/>
          <w:sz w:val="24"/>
          <w:szCs w:val="24"/>
          <w:highlight w:val="none"/>
          <w:lang w:eastAsia="zh-CN"/>
        </w:rPr>
        <w:t>= F</w:t>
      </w:r>
      <w:r>
        <w:rPr>
          <w:rFonts w:hint="eastAsia" w:ascii="宋体" w:hAnsi="宋体" w:cs="宋体"/>
          <w:color w:val="auto"/>
          <w:sz w:val="24"/>
          <w:szCs w:val="24"/>
          <w:highlight w:val="none"/>
          <w:vertAlign w:val="subscript"/>
          <w:lang w:eastAsia="zh-CN"/>
        </w:rPr>
        <w:t>xa</w:t>
      </w:r>
      <w:r>
        <w:rPr>
          <w:rFonts w:hint="eastAsia" w:ascii="宋体" w:hAnsi="宋体" w:cs="宋体"/>
          <w:color w:val="auto"/>
          <w:sz w:val="24"/>
          <w:szCs w:val="24"/>
          <w:highlight w:val="none"/>
          <w:lang w:eastAsia="zh-CN"/>
        </w:rPr>
        <w:t>h</w:t>
      </w:r>
      <w:r>
        <w:rPr>
          <w:rFonts w:hint="eastAsia" w:ascii="宋体" w:hAnsi="宋体" w:cs="宋体"/>
          <w:color w:val="auto"/>
          <w:sz w:val="24"/>
          <w:szCs w:val="24"/>
          <w:highlight w:val="none"/>
          <w:vertAlign w:val="subscript"/>
          <w:lang w:eastAsia="zh-CN"/>
        </w:rPr>
        <w:t>x</w:t>
      </w:r>
      <w:r>
        <w:rPr>
          <w:rFonts w:hint="eastAsia" w:ascii="宋体" w:hAnsi="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5137.12</w:t>
      </w:r>
      <w:r>
        <w:rPr>
          <w:rFonts w:hint="eastAsia" w:ascii="宋体" w:hAnsi="宋体" w:cs="宋体"/>
          <w:bCs/>
          <w:color w:val="auto"/>
          <w:sz w:val="24"/>
          <w:szCs w:val="24"/>
          <w:highlight w:val="none"/>
          <w:lang w:eastAsia="zh-CN"/>
        </w:rPr>
        <w:t>*0.15</w:t>
      </w:r>
      <w:r>
        <w:rPr>
          <w:rFonts w:hint="eastAsia" w:ascii="宋体" w:hAnsi="宋体" w:cs="宋体"/>
          <w:color w:val="auto"/>
          <w:sz w:val="24"/>
          <w:szCs w:val="24"/>
          <w:highlight w:val="none"/>
          <w:lang w:eastAsia="zh-CN"/>
        </w:rPr>
        <w:t>（平均下沉深度0.15m ）=</w:t>
      </w:r>
      <w:r>
        <w:rPr>
          <w:rFonts w:hint="eastAsia" w:ascii="宋体" w:hAnsi="宋体" w:cs="宋体"/>
          <w:color w:val="auto"/>
          <w:sz w:val="24"/>
          <w:szCs w:val="24"/>
          <w:highlight w:val="none"/>
          <w:lang w:val="en-US" w:eastAsia="zh-CN"/>
        </w:rPr>
        <w:t>770.568m³</w:t>
      </w:r>
    </w:p>
    <w:p w14:paraId="13ECBABC">
      <w:pPr>
        <w:keepNext w:val="0"/>
        <w:keepLines w:val="0"/>
        <w:widowControl/>
        <w:suppressLineNumbers w:val="0"/>
        <w:spacing w:before="0" w:beforeAutospacing="0" w:after="0" w:afterAutospacing="0"/>
        <w:ind w:left="0" w:right="0" w:firstLine="470" w:firstLineChars="196"/>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H= V/10</w:t>
      </w:r>
      <w:r>
        <w:rPr>
          <w:rFonts w:hint="eastAsia" w:ascii="宋体" w:hAnsi="宋体" w:cs="宋体"/>
          <w:color w:val="auto"/>
          <w:sz w:val="24"/>
          <w:szCs w:val="24"/>
          <w:highlight w:val="none"/>
        </w:rPr>
        <w:t>Ψ</w:t>
      </w:r>
      <w:r>
        <w:rPr>
          <w:rFonts w:hint="eastAsia" w:ascii="宋体" w:hAnsi="宋体" w:cs="宋体"/>
          <w:color w:val="auto"/>
          <w:sz w:val="24"/>
          <w:szCs w:val="24"/>
          <w:highlight w:val="none"/>
          <w:lang w:eastAsia="zh-CN"/>
        </w:rPr>
        <w:t>F=</w:t>
      </w:r>
      <w:r>
        <w:rPr>
          <w:rFonts w:hint="eastAsia" w:ascii="宋体" w:hAnsi="宋体" w:cs="宋体"/>
          <w:color w:val="auto"/>
          <w:sz w:val="24"/>
          <w:szCs w:val="24"/>
          <w:highlight w:val="none"/>
          <w:lang w:val="en-US" w:eastAsia="zh-CN"/>
        </w:rPr>
        <w:t>770.568</w:t>
      </w:r>
      <w:r>
        <w:rPr>
          <w:rFonts w:hint="eastAsia" w:ascii="宋体" w:hAnsi="宋体" w:cs="宋体"/>
          <w:color w:val="auto"/>
          <w:sz w:val="24"/>
          <w:szCs w:val="24"/>
          <w:highlight w:val="none"/>
          <w:lang w:eastAsia="zh-CN"/>
        </w:rPr>
        <w:t>/</w:t>
      </w:r>
      <w:r>
        <w:rPr>
          <w:rFonts w:hint="eastAsia" w:ascii="宋体" w:hAnsi="宋体" w:cs="宋体"/>
          <w:bCs/>
          <w:color w:val="auto"/>
          <w:sz w:val="24"/>
          <w:szCs w:val="24"/>
          <w:highlight w:val="none"/>
          <w:lang w:val="en-US" w:eastAsia="zh-CN"/>
        </w:rPr>
        <w:t>10</w:t>
      </w:r>
      <w:r>
        <w:rPr>
          <w:rFonts w:hint="eastAsia" w:ascii="宋体" w:hAnsi="宋体" w:cs="宋体"/>
          <w:color w:val="auto"/>
          <w:sz w:val="24"/>
          <w:szCs w:val="24"/>
          <w:highlight w:val="none"/>
          <w:lang w:eastAsia="zh-CN"/>
        </w:rPr>
        <w:t>/0.</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lang w:val="en-US" w:eastAsia="zh-CN"/>
        </w:rPr>
        <w:t>2/17557.32*1</w:t>
      </w:r>
      <w:r>
        <w:rPr>
          <w:rFonts w:hint="eastAsia" w:ascii="宋体" w:hAnsi="宋体" w:cs="宋体"/>
          <w:color w:val="auto"/>
          <w:sz w:val="24"/>
          <w:szCs w:val="24"/>
          <w:highlight w:val="none"/>
          <w:lang w:val="en-US" w:eastAsia="zh-CN"/>
        </w:rPr>
        <w:t>0000</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87.4</w:t>
      </w:r>
      <w:r>
        <w:rPr>
          <w:rFonts w:hint="eastAsia" w:ascii="宋体" w:hAnsi="宋体" w:cs="宋体"/>
          <w:color w:val="auto"/>
          <w:sz w:val="24"/>
          <w:szCs w:val="24"/>
          <w:highlight w:val="none"/>
          <w:lang w:eastAsia="zh-CN"/>
        </w:rPr>
        <w:t>mm</w:t>
      </w:r>
    </w:p>
    <w:p w14:paraId="2010D218">
      <w:pPr>
        <w:keepNext w:val="0"/>
        <w:keepLines w:val="0"/>
        <w:widowControl/>
        <w:suppressLineNumbers w:val="0"/>
        <w:spacing w:before="0" w:beforeAutospacing="0" w:after="0" w:afterAutospacing="0"/>
        <w:ind w:left="0" w:right="0" w:firstLine="470" w:firstLineChars="196"/>
        <w:jc w:val="both"/>
        <w:rPr>
          <w:rFonts w:hint="default"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本工程年径流总量控制率</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98%</w:t>
      </w:r>
    </w:p>
    <w:p w14:paraId="43263140">
      <w:pPr>
        <w:keepNext w:val="0"/>
        <w:keepLines w:val="0"/>
        <w:widowControl/>
        <w:suppressLineNumbers w:val="0"/>
        <w:spacing w:before="0" w:beforeAutospacing="0" w:after="0" w:afterAutospacing="0"/>
        <w:ind w:left="0" w:right="0"/>
        <w:jc w:val="both"/>
        <w:rPr>
          <w:rFonts w:hint="eastAsia" w:ascii="宋体" w:hAnsi="宋体" w:cs="宋体"/>
          <w:b/>
          <w:color w:val="auto"/>
          <w:sz w:val="24"/>
          <w:szCs w:val="24"/>
          <w:highlight w:val="none"/>
          <w:lang w:eastAsia="zh-CN"/>
        </w:rPr>
      </w:pPr>
      <w:r>
        <w:rPr>
          <w:rFonts w:hint="eastAsia" w:ascii="宋体" w:hAnsi="宋体" w:cs="宋体"/>
          <w:b/>
          <w:color w:val="auto"/>
          <w:sz w:val="24"/>
          <w:szCs w:val="24"/>
          <w:highlight w:val="none"/>
          <w:lang w:val="en-US" w:eastAsia="zh-CN"/>
        </w:rPr>
        <w:t>3)</w:t>
      </w:r>
      <w:r>
        <w:rPr>
          <w:rFonts w:hint="eastAsia" w:ascii="宋体" w:hAnsi="宋体" w:cs="宋体"/>
          <w:b/>
          <w:color w:val="auto"/>
          <w:sz w:val="24"/>
          <w:szCs w:val="24"/>
          <w:highlight w:val="none"/>
          <w:lang w:eastAsia="zh-CN"/>
        </w:rPr>
        <w:t>年径流污染削减率</w:t>
      </w:r>
    </w:p>
    <w:p w14:paraId="31A71708">
      <w:pPr>
        <w:keepNext w:val="0"/>
        <w:keepLines w:val="0"/>
        <w:widowControl/>
        <w:suppressLineNumbers w:val="0"/>
        <w:spacing w:before="0" w:beforeAutospacing="0" w:after="0" w:afterAutospacing="0"/>
        <w:ind w:left="0" w:right="0" w:firstLine="470" w:firstLineChars="196"/>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不同设施污染物去除率表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6"/>
        <w:gridCol w:w="3521"/>
      </w:tblGrid>
      <w:tr w14:paraId="70E5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21BCB542">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单项设施</w:t>
            </w:r>
          </w:p>
        </w:tc>
        <w:tc>
          <w:tcPr>
            <w:tcW w:w="0" w:type="auto"/>
            <w:shd w:val="clear" w:color="auto" w:fill="auto"/>
            <w:noWrap w:val="0"/>
            <w:vAlign w:val="center"/>
          </w:tcPr>
          <w:p w14:paraId="29059D52">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污染物去除率（以 ss计，％)</w:t>
            </w:r>
          </w:p>
        </w:tc>
      </w:tr>
      <w:tr w14:paraId="34EB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1B192570">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透水砖铺装</w:t>
            </w:r>
          </w:p>
        </w:tc>
        <w:tc>
          <w:tcPr>
            <w:tcW w:w="0" w:type="auto"/>
            <w:shd w:val="clear" w:color="auto" w:fill="auto"/>
            <w:noWrap w:val="0"/>
            <w:vAlign w:val="top"/>
          </w:tcPr>
          <w:p w14:paraId="0E7CAEDE">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80-90</w:t>
            </w:r>
          </w:p>
        </w:tc>
      </w:tr>
      <w:tr w14:paraId="7A68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0" w:type="auto"/>
            <w:shd w:val="clear" w:color="auto" w:fill="auto"/>
            <w:noWrap w:val="0"/>
            <w:vAlign w:val="center"/>
          </w:tcPr>
          <w:p w14:paraId="15CE7BEB">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透水水泥混凝土</w:t>
            </w:r>
          </w:p>
        </w:tc>
        <w:tc>
          <w:tcPr>
            <w:tcW w:w="0" w:type="auto"/>
            <w:shd w:val="clear" w:color="auto" w:fill="auto"/>
            <w:noWrap w:val="0"/>
            <w:vAlign w:val="top"/>
          </w:tcPr>
          <w:p w14:paraId="0CEC547A">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80-90</w:t>
            </w:r>
          </w:p>
        </w:tc>
      </w:tr>
      <w:tr w14:paraId="1A4D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1F923F64">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透水沥青混凝土</w:t>
            </w:r>
          </w:p>
        </w:tc>
        <w:tc>
          <w:tcPr>
            <w:tcW w:w="0" w:type="auto"/>
            <w:shd w:val="clear" w:color="auto" w:fill="auto"/>
            <w:noWrap w:val="0"/>
            <w:vAlign w:val="top"/>
          </w:tcPr>
          <w:p w14:paraId="1CFDC897">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80-90</w:t>
            </w:r>
          </w:p>
        </w:tc>
      </w:tr>
      <w:tr w14:paraId="6EB1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2373B613">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绿色屋顶</w:t>
            </w:r>
          </w:p>
        </w:tc>
        <w:tc>
          <w:tcPr>
            <w:tcW w:w="0" w:type="auto"/>
            <w:shd w:val="clear" w:color="auto" w:fill="auto"/>
            <w:noWrap w:val="0"/>
            <w:vAlign w:val="top"/>
          </w:tcPr>
          <w:p w14:paraId="5C862F9D">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70-80</w:t>
            </w:r>
          </w:p>
        </w:tc>
      </w:tr>
      <w:tr w14:paraId="6C5F3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4C7F7D9B">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复杂型生物滞留设施</w:t>
            </w:r>
          </w:p>
        </w:tc>
        <w:tc>
          <w:tcPr>
            <w:tcW w:w="0" w:type="auto"/>
            <w:shd w:val="clear" w:color="auto" w:fill="auto"/>
            <w:noWrap w:val="0"/>
            <w:vAlign w:val="top"/>
          </w:tcPr>
          <w:p w14:paraId="26735E03">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70-95</w:t>
            </w:r>
          </w:p>
        </w:tc>
      </w:tr>
      <w:tr w14:paraId="5D50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6E51C68B">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渗透塘</w:t>
            </w:r>
          </w:p>
        </w:tc>
        <w:tc>
          <w:tcPr>
            <w:tcW w:w="0" w:type="auto"/>
            <w:shd w:val="clear" w:color="auto" w:fill="auto"/>
            <w:noWrap w:val="0"/>
            <w:vAlign w:val="top"/>
          </w:tcPr>
          <w:p w14:paraId="086509D3">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70-80</w:t>
            </w:r>
          </w:p>
        </w:tc>
      </w:tr>
      <w:tr w14:paraId="0340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13FBF217">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湿塘</w:t>
            </w:r>
          </w:p>
        </w:tc>
        <w:tc>
          <w:tcPr>
            <w:tcW w:w="0" w:type="auto"/>
            <w:shd w:val="clear" w:color="auto" w:fill="auto"/>
            <w:noWrap w:val="0"/>
            <w:vAlign w:val="top"/>
          </w:tcPr>
          <w:p w14:paraId="4AECE5E4">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50-80</w:t>
            </w:r>
          </w:p>
        </w:tc>
      </w:tr>
      <w:tr w14:paraId="06A8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0" w:type="auto"/>
            <w:shd w:val="clear" w:color="auto" w:fill="auto"/>
            <w:noWrap w:val="0"/>
            <w:vAlign w:val="center"/>
          </w:tcPr>
          <w:p w14:paraId="2F29145A">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雨水湿地</w:t>
            </w:r>
          </w:p>
        </w:tc>
        <w:tc>
          <w:tcPr>
            <w:tcW w:w="0" w:type="auto"/>
            <w:shd w:val="clear" w:color="auto" w:fill="auto"/>
            <w:noWrap w:val="0"/>
            <w:vAlign w:val="top"/>
          </w:tcPr>
          <w:p w14:paraId="4F6B723D">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50-80</w:t>
            </w:r>
          </w:p>
        </w:tc>
      </w:tr>
      <w:tr w14:paraId="2718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358C7380">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蓄水池</w:t>
            </w:r>
          </w:p>
        </w:tc>
        <w:tc>
          <w:tcPr>
            <w:tcW w:w="0" w:type="auto"/>
            <w:shd w:val="clear" w:color="auto" w:fill="auto"/>
            <w:noWrap w:val="0"/>
            <w:vAlign w:val="top"/>
          </w:tcPr>
          <w:p w14:paraId="6BEF10DC">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80-90</w:t>
            </w:r>
          </w:p>
        </w:tc>
      </w:tr>
      <w:tr w14:paraId="5FCBD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60617EC1">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雨水罐</w:t>
            </w:r>
          </w:p>
        </w:tc>
        <w:tc>
          <w:tcPr>
            <w:tcW w:w="0" w:type="auto"/>
            <w:shd w:val="clear" w:color="auto" w:fill="auto"/>
            <w:noWrap w:val="0"/>
            <w:vAlign w:val="top"/>
          </w:tcPr>
          <w:p w14:paraId="6B9028E5">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80-90</w:t>
            </w:r>
          </w:p>
        </w:tc>
      </w:tr>
      <w:tr w14:paraId="2B840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08493124">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转输型植草沟</w:t>
            </w:r>
          </w:p>
        </w:tc>
        <w:tc>
          <w:tcPr>
            <w:tcW w:w="0" w:type="auto"/>
            <w:shd w:val="clear" w:color="auto" w:fill="auto"/>
            <w:noWrap w:val="0"/>
            <w:vAlign w:val="center"/>
          </w:tcPr>
          <w:p w14:paraId="5666BB8D">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35-90（与水力停留时间有关）</w:t>
            </w:r>
          </w:p>
        </w:tc>
      </w:tr>
      <w:tr w14:paraId="100ED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04B83503">
            <w:pPr>
              <w:keepNext w:val="0"/>
              <w:keepLines w:val="0"/>
              <w:widowControl/>
              <w:suppressLineNumbers w:val="0"/>
              <w:spacing w:before="0" w:beforeAutospacing="0" w:after="0" w:afterAutospacing="0"/>
              <w:ind w:left="0" w:right="0" w:firstLine="411" w:firstLineChars="196"/>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植被缓冲带、下沉式绿地</w:t>
            </w:r>
          </w:p>
        </w:tc>
        <w:tc>
          <w:tcPr>
            <w:tcW w:w="0" w:type="auto"/>
            <w:shd w:val="clear" w:color="auto" w:fill="auto"/>
            <w:noWrap w:val="0"/>
            <w:vAlign w:val="top"/>
          </w:tcPr>
          <w:p w14:paraId="2AE3D5AB">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50-75</w:t>
            </w:r>
          </w:p>
        </w:tc>
      </w:tr>
      <w:tr w14:paraId="7FC93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0" w:type="auto"/>
            <w:shd w:val="clear" w:color="auto" w:fill="auto"/>
            <w:noWrap w:val="0"/>
            <w:vAlign w:val="center"/>
          </w:tcPr>
          <w:p w14:paraId="329D907D">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人工土壤渗滤</w:t>
            </w:r>
          </w:p>
        </w:tc>
        <w:tc>
          <w:tcPr>
            <w:tcW w:w="0" w:type="auto"/>
            <w:shd w:val="clear" w:color="auto" w:fill="auto"/>
            <w:noWrap w:val="0"/>
            <w:vAlign w:val="top"/>
          </w:tcPr>
          <w:p w14:paraId="611CB342">
            <w:pPr>
              <w:keepNext w:val="0"/>
              <w:keepLines w:val="0"/>
              <w:widowControl/>
              <w:suppressLineNumbers w:val="0"/>
              <w:spacing w:before="0" w:beforeAutospacing="0" w:after="0" w:afterAutospacing="0"/>
              <w:ind w:left="0" w:right="0" w:firstLine="411" w:firstLineChars="196"/>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75-95</w:t>
            </w:r>
          </w:p>
        </w:tc>
      </w:tr>
    </w:tbl>
    <w:p w14:paraId="40307731">
      <w:pPr>
        <w:pStyle w:val="11"/>
        <w:keepNext w:val="0"/>
        <w:keepLines w:val="0"/>
        <w:numPr>
          <w:ilvl w:val="0"/>
          <w:numId w:val="0"/>
        </w:numPr>
        <w:suppressLineNumbers w:val="0"/>
        <w:tabs>
          <w:tab w:val="left" w:pos="284"/>
        </w:tabs>
        <w:spacing w:before="0" w:beforeAutospacing="0" w:after="0" w:afterAutospacing="0" w:line="360" w:lineRule="auto"/>
        <w:ind w:left="426" w:leftChars="0" w:right="0" w:rightChars="0" w:firstLine="480" w:firstLineChars="200"/>
        <w:rPr>
          <w:rFonts w:hint="default" w:eastAsia="宋体"/>
          <w:color w:val="auto"/>
          <w:sz w:val="24"/>
          <w:szCs w:val="24"/>
          <w:highlight w:val="none"/>
          <w:lang w:val="en-US" w:eastAsia="zh-CN"/>
        </w:rPr>
      </w:pPr>
      <w:r>
        <w:rPr>
          <w:rFonts w:hint="eastAsia" w:ascii="宋体" w:hAnsi="宋体" w:cs="宋体"/>
          <w:color w:val="auto"/>
          <w:sz w:val="24"/>
          <w:szCs w:val="24"/>
          <w:highlight w:val="none"/>
          <w:lang w:val="en-US" w:eastAsia="zh-CN"/>
        </w:rPr>
        <w:t>本设计下沉式绿地</w:t>
      </w:r>
      <w:r>
        <w:rPr>
          <w:rFonts w:hint="eastAsia" w:hAnsi="宋体" w:cs="宋体"/>
          <w:color w:val="auto"/>
          <w:sz w:val="24"/>
          <w:szCs w:val="24"/>
          <w:highlight w:val="none"/>
          <w:lang w:val="en-US" w:eastAsia="zh-CN"/>
        </w:rPr>
        <w:t>的</w:t>
      </w:r>
      <w:r>
        <w:rPr>
          <w:rFonts w:hint="eastAsia" w:ascii="宋体" w:hAnsi="宋体" w:cs="宋体"/>
          <w:color w:val="auto"/>
          <w:sz w:val="24"/>
          <w:szCs w:val="24"/>
          <w:highlight w:val="none"/>
          <w:lang w:val="en-US" w:eastAsia="zh-CN"/>
        </w:rPr>
        <w:t>污染物去除率取值为</w:t>
      </w:r>
      <w:r>
        <w:rPr>
          <w:rFonts w:hint="eastAsia" w:hAnsi="宋体" w:cs="宋体"/>
          <w:color w:val="auto"/>
          <w:sz w:val="24"/>
          <w:szCs w:val="24"/>
          <w:highlight w:val="none"/>
          <w:lang w:val="en-US" w:eastAsia="zh-CN"/>
        </w:rPr>
        <w:t>75</w:t>
      </w:r>
      <w:r>
        <w:rPr>
          <w:rFonts w:hint="eastAsia" w:ascii="宋体" w:hAnsi="宋体" w:cs="宋体"/>
          <w:color w:val="auto"/>
          <w:sz w:val="24"/>
          <w:szCs w:val="24"/>
          <w:highlight w:val="none"/>
          <w:lang w:val="en-US" w:eastAsia="zh-CN"/>
        </w:rPr>
        <w:t>%、透水砖铺装</w:t>
      </w:r>
      <w:r>
        <w:rPr>
          <w:rFonts w:hint="eastAsia" w:hAnsi="宋体" w:cs="宋体"/>
          <w:color w:val="auto"/>
          <w:sz w:val="24"/>
          <w:szCs w:val="24"/>
          <w:highlight w:val="none"/>
          <w:lang w:val="en-US" w:eastAsia="zh-CN"/>
        </w:rPr>
        <w:t>和</w:t>
      </w:r>
      <w:r>
        <w:rPr>
          <w:rFonts w:hint="eastAsia" w:ascii="宋体" w:hAnsi="宋体" w:cs="宋体"/>
          <w:color w:val="auto"/>
          <w:sz w:val="24"/>
          <w:szCs w:val="24"/>
          <w:highlight w:val="none"/>
          <w:lang w:val="en-US" w:eastAsia="zh-CN"/>
        </w:rPr>
        <w:t>透水混凝土</w:t>
      </w:r>
      <w:r>
        <w:rPr>
          <w:rFonts w:hint="eastAsia" w:hAnsi="宋体" w:cs="宋体"/>
          <w:color w:val="auto"/>
          <w:sz w:val="24"/>
          <w:szCs w:val="24"/>
          <w:highlight w:val="none"/>
          <w:lang w:val="en-US" w:eastAsia="zh-CN"/>
        </w:rPr>
        <w:t>的</w:t>
      </w:r>
      <w:r>
        <w:rPr>
          <w:rFonts w:hint="eastAsia" w:ascii="宋体" w:hAnsi="宋体" w:cs="宋体"/>
          <w:color w:val="auto"/>
          <w:sz w:val="24"/>
          <w:szCs w:val="24"/>
          <w:highlight w:val="none"/>
          <w:lang w:val="en-US" w:eastAsia="zh-CN"/>
        </w:rPr>
        <w:t>污染物去除率取值均为</w:t>
      </w:r>
      <w:r>
        <w:rPr>
          <w:rFonts w:hint="eastAsia" w:hAnsi="宋体" w:cs="宋体"/>
          <w:color w:val="auto"/>
          <w:sz w:val="24"/>
          <w:szCs w:val="24"/>
          <w:highlight w:val="none"/>
          <w:lang w:val="en-US" w:eastAsia="zh-CN"/>
        </w:rPr>
        <w:t>75</w:t>
      </w:r>
      <w:r>
        <w:rPr>
          <w:rFonts w:hint="eastAsia" w:ascii="宋体" w:hAnsi="宋体" w:cs="宋体"/>
          <w:color w:val="auto"/>
          <w:sz w:val="24"/>
          <w:szCs w:val="24"/>
          <w:highlight w:val="none"/>
          <w:lang w:val="en-US" w:eastAsia="zh-CN"/>
        </w:rPr>
        <w:t>%。</w:t>
      </w:r>
      <w:r>
        <w:rPr>
          <w:rFonts w:hint="eastAsia"/>
          <w:color w:val="auto"/>
          <w:sz w:val="24"/>
          <w:szCs w:val="24"/>
          <w:highlight w:val="none"/>
        </w:rPr>
        <w:t>汇水区域年径流污染削减率</w:t>
      </w:r>
      <w:r>
        <w:rPr>
          <w:rFonts w:hint="default"/>
          <w:color w:val="auto"/>
          <w:sz w:val="24"/>
          <w:szCs w:val="24"/>
          <w:highlight w:val="none"/>
        </w:rPr>
        <w:t>P</w:t>
      </w:r>
      <w:r>
        <w:rPr>
          <w:rFonts w:hint="eastAsia"/>
          <w:color w:val="auto"/>
          <w:sz w:val="24"/>
          <w:szCs w:val="24"/>
          <w:highlight w:val="none"/>
        </w:rPr>
        <w:t>按下式计算： P=PW*PT</w:t>
      </w:r>
      <w:r>
        <w:rPr>
          <w:rFonts w:hint="eastAsia"/>
          <w:color w:val="auto"/>
          <w:sz w:val="24"/>
          <w:szCs w:val="24"/>
          <w:highlight w:val="none"/>
          <w:lang w:val="en-US" w:eastAsia="zh-CN"/>
        </w:rPr>
        <w:t>=98%</w:t>
      </w:r>
      <w:r>
        <w:rPr>
          <w:rFonts w:hint="eastAsia"/>
          <w:color w:val="auto"/>
          <w:sz w:val="24"/>
          <w:szCs w:val="24"/>
          <w:highlight w:val="none"/>
        </w:rPr>
        <w:t>*</w:t>
      </w:r>
      <w:r>
        <w:rPr>
          <w:rFonts w:hint="eastAsia"/>
          <w:color w:val="auto"/>
          <w:sz w:val="24"/>
          <w:szCs w:val="24"/>
          <w:highlight w:val="none"/>
          <w:lang w:val="en-US" w:eastAsia="zh-CN"/>
        </w:rPr>
        <w:t>75%=73.50%</w:t>
      </w:r>
    </w:p>
    <w:p w14:paraId="29D245E9">
      <w:pPr>
        <w:keepNext w:val="0"/>
        <w:keepLines w:val="0"/>
        <w:widowControl/>
        <w:suppressLineNumbers w:val="0"/>
        <w:autoSpaceDE w:val="0"/>
        <w:autoSpaceDN w:val="0"/>
        <w:adjustRightInd w:val="0"/>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bidi="en-US"/>
        </w:rPr>
      </w:pPr>
      <w:r>
        <w:rPr>
          <w:rFonts w:hint="eastAsia" w:ascii="宋体" w:hAnsi="宋体" w:eastAsia="宋体" w:cs="宋体"/>
          <w:color w:val="auto"/>
          <w:sz w:val="24"/>
          <w:szCs w:val="24"/>
          <w:highlight w:val="none"/>
          <w:lang w:val="en-US" w:eastAsia="zh-CN" w:bidi="en-US"/>
        </w:rPr>
        <w:t>式中：PW—汇水区域海绵设施污染物削减率（以SS 计）；</w:t>
      </w:r>
    </w:p>
    <w:p w14:paraId="71F43E7E">
      <w:pPr>
        <w:keepNext w:val="0"/>
        <w:keepLines w:val="0"/>
        <w:widowControl/>
        <w:suppressLineNumbers w:val="0"/>
        <w:tabs>
          <w:tab w:val="left" w:pos="360"/>
        </w:tabs>
        <w:autoSpaceDE w:val="0"/>
        <w:autoSpaceDN w:val="0"/>
        <w:adjustRightInd w:val="0"/>
        <w:spacing w:before="0" w:beforeAutospacing="0" w:after="0" w:afterAutospacing="0" w:line="360" w:lineRule="auto"/>
        <w:ind w:right="0" w:firstLine="1200" w:firstLineChars="500"/>
        <w:jc w:val="left"/>
        <w:rPr>
          <w:rFonts w:hint="eastAsia" w:ascii="宋体" w:hAnsi="宋体" w:eastAsia="宋体" w:cs="宋体"/>
          <w:color w:val="auto"/>
          <w:sz w:val="24"/>
          <w:szCs w:val="24"/>
          <w:highlight w:val="none"/>
          <w:lang w:val="en-US" w:eastAsia="zh-CN" w:bidi="en-US"/>
        </w:rPr>
      </w:pPr>
      <w:r>
        <w:rPr>
          <w:rFonts w:hint="eastAsia" w:ascii="宋体" w:hAnsi="宋体" w:eastAsia="宋体" w:cs="宋体"/>
          <w:color w:val="auto"/>
          <w:sz w:val="24"/>
          <w:szCs w:val="24"/>
          <w:highlight w:val="none"/>
          <w:lang w:val="en-US" w:eastAsia="zh-CN" w:bidi="en-US"/>
        </w:rPr>
        <w:t>PT—汇水区域年径流总量控制率。</w:t>
      </w:r>
    </w:p>
    <w:p w14:paraId="3B70BA09">
      <w:pPr>
        <w:pStyle w:val="3"/>
        <w:bidi w:val="0"/>
        <w:rPr>
          <w:rFonts w:hint="eastAsia" w:eastAsia="宋体" w:cs="Times New Roman"/>
          <w:color w:val="auto"/>
          <w:highlight w:val="none"/>
          <w:lang w:val="en-US" w:eastAsia="zh-CN"/>
        </w:rPr>
      </w:pPr>
      <w:r>
        <w:rPr>
          <w:rFonts w:hint="eastAsia"/>
          <w:color w:val="auto"/>
          <w:highlight w:val="none"/>
        </w:rPr>
        <w:t>透水铺装率及绿化带下沉绿地率计算</w:t>
      </w:r>
    </w:p>
    <w:p w14:paraId="73B015A1">
      <w:pPr>
        <w:pStyle w:val="28"/>
        <w:snapToGrid w:val="0"/>
        <w:ind w:firstLine="480"/>
        <w:rPr>
          <w:bCs/>
          <w:color w:val="auto"/>
          <w:highlight w:val="none"/>
        </w:rPr>
      </w:pPr>
      <w:r>
        <w:rPr>
          <w:rFonts w:hint="eastAsia"/>
          <w:bCs/>
          <w:color w:val="auto"/>
          <w:highlight w:val="none"/>
        </w:rPr>
        <w:t>本项目各下垫面面积统计如下：</w:t>
      </w:r>
    </w:p>
    <w:tbl>
      <w:tblPr>
        <w:tblStyle w:val="18"/>
        <w:tblW w:w="7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73"/>
        <w:gridCol w:w="929"/>
        <w:gridCol w:w="929"/>
        <w:gridCol w:w="1187"/>
        <w:gridCol w:w="977"/>
        <w:gridCol w:w="1012"/>
      </w:tblGrid>
      <w:tr w14:paraId="392D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5" w:type="dxa"/>
            <w:vAlign w:val="center"/>
          </w:tcPr>
          <w:p w14:paraId="0B360612">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项目</w:t>
            </w:r>
          </w:p>
        </w:tc>
        <w:tc>
          <w:tcPr>
            <w:tcW w:w="1073" w:type="dxa"/>
            <w:vAlign w:val="center"/>
          </w:tcPr>
          <w:p w14:paraId="6ED0438B">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下沉式</w:t>
            </w:r>
          </w:p>
          <w:p w14:paraId="1D8B90B0">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绿化带</w:t>
            </w:r>
          </w:p>
        </w:tc>
        <w:tc>
          <w:tcPr>
            <w:tcW w:w="929" w:type="dxa"/>
            <w:vAlign w:val="center"/>
          </w:tcPr>
          <w:p w14:paraId="0B4391F9">
            <w:pPr>
              <w:snapToGrid w:val="0"/>
              <w:spacing w:line="240" w:lineRule="auto"/>
              <w:ind w:left="-120" w:leftChars="-50" w:right="-120" w:rightChars="-50" w:firstLine="0" w:firstLineChars="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普通绿地</w:t>
            </w:r>
          </w:p>
        </w:tc>
        <w:tc>
          <w:tcPr>
            <w:tcW w:w="929" w:type="dxa"/>
            <w:vAlign w:val="center"/>
          </w:tcPr>
          <w:p w14:paraId="5E96E7E1">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机动车道</w:t>
            </w:r>
          </w:p>
        </w:tc>
        <w:tc>
          <w:tcPr>
            <w:tcW w:w="1187" w:type="dxa"/>
            <w:vAlign w:val="center"/>
          </w:tcPr>
          <w:p w14:paraId="74B8D806">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非机动车道</w:t>
            </w:r>
          </w:p>
          <w:p w14:paraId="53CC4569">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全透水</w:t>
            </w:r>
          </w:p>
        </w:tc>
        <w:tc>
          <w:tcPr>
            <w:tcW w:w="977" w:type="dxa"/>
            <w:vAlign w:val="center"/>
          </w:tcPr>
          <w:p w14:paraId="27BBF390">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人行道</w:t>
            </w:r>
          </w:p>
          <w:p w14:paraId="62239908">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全透水</w:t>
            </w:r>
          </w:p>
        </w:tc>
        <w:tc>
          <w:tcPr>
            <w:tcW w:w="1012" w:type="dxa"/>
            <w:vAlign w:val="center"/>
          </w:tcPr>
          <w:p w14:paraId="011062B9">
            <w:pPr>
              <w:snapToGrid w:val="0"/>
              <w:spacing w:line="240" w:lineRule="auto"/>
              <w:ind w:left="-120" w:leftChars="-50" w:right="-120" w:rightChars="-50" w:firstLine="0" w:firstLineChars="0"/>
              <w:jc w:val="center"/>
              <w:rPr>
                <w:color w:val="auto"/>
                <w:sz w:val="21"/>
                <w:szCs w:val="21"/>
                <w:highlight w:val="none"/>
              </w:rPr>
            </w:pPr>
            <w:r>
              <w:rPr>
                <w:rFonts w:hint="eastAsia"/>
                <w:color w:val="auto"/>
                <w:sz w:val="21"/>
                <w:szCs w:val="21"/>
                <w:highlight w:val="none"/>
              </w:rPr>
              <w:t>合计</w:t>
            </w:r>
          </w:p>
        </w:tc>
      </w:tr>
      <w:tr w14:paraId="58EC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155" w:type="dxa"/>
            <w:vAlign w:val="center"/>
          </w:tcPr>
          <w:p w14:paraId="4491B59C">
            <w:pPr>
              <w:snapToGrid w:val="0"/>
              <w:spacing w:line="240" w:lineRule="auto"/>
              <w:ind w:firstLine="0" w:firstLineChars="0"/>
              <w:jc w:val="center"/>
              <w:rPr>
                <w:color w:val="auto"/>
                <w:sz w:val="21"/>
                <w:szCs w:val="21"/>
                <w:highlight w:val="none"/>
              </w:rPr>
            </w:pPr>
            <w:r>
              <w:rPr>
                <w:rFonts w:hint="eastAsia"/>
                <w:color w:val="auto"/>
                <w:sz w:val="21"/>
                <w:szCs w:val="21"/>
                <w:highlight w:val="none"/>
              </w:rPr>
              <w:t>面积（m</w:t>
            </w:r>
            <w:r>
              <w:rPr>
                <w:rFonts w:hint="eastAsia"/>
                <w:color w:val="auto"/>
                <w:sz w:val="21"/>
                <w:szCs w:val="21"/>
                <w:highlight w:val="none"/>
                <w:vertAlign w:val="superscript"/>
              </w:rPr>
              <w:t>2</w:t>
            </w:r>
            <w:r>
              <w:rPr>
                <w:rFonts w:hint="eastAsia"/>
                <w:color w:val="auto"/>
                <w:sz w:val="21"/>
                <w:szCs w:val="21"/>
                <w:highlight w:val="none"/>
              </w:rPr>
              <w:t>）</w:t>
            </w:r>
          </w:p>
        </w:tc>
        <w:tc>
          <w:tcPr>
            <w:tcW w:w="1073" w:type="dxa"/>
            <w:vAlign w:val="center"/>
          </w:tcPr>
          <w:p w14:paraId="021561EE">
            <w:pPr>
              <w:snapToGrid w:val="0"/>
              <w:spacing w:line="240" w:lineRule="auto"/>
              <w:ind w:firstLine="0" w:firstLineChars="0"/>
              <w:jc w:val="center"/>
              <w:rPr>
                <w:rFonts w:hint="default" w:eastAsia="宋体"/>
                <w:color w:val="auto"/>
                <w:sz w:val="21"/>
                <w:szCs w:val="21"/>
                <w:highlight w:val="none"/>
                <w:lang w:val="en-US" w:eastAsia="zh-CN"/>
              </w:rPr>
            </w:pPr>
            <w:r>
              <w:rPr>
                <w:rFonts w:hint="eastAsia" w:eastAsia="等线"/>
                <w:color w:val="auto"/>
                <w:sz w:val="21"/>
                <w:szCs w:val="21"/>
                <w:highlight w:val="none"/>
                <w:lang w:val="en-US" w:eastAsia="zh-CN"/>
              </w:rPr>
              <w:t>5137.12</w:t>
            </w:r>
          </w:p>
        </w:tc>
        <w:tc>
          <w:tcPr>
            <w:tcW w:w="929" w:type="dxa"/>
            <w:vAlign w:val="center"/>
          </w:tcPr>
          <w:p w14:paraId="3933E8C0">
            <w:pPr>
              <w:snapToGrid w:val="0"/>
              <w:spacing w:line="240" w:lineRule="auto"/>
              <w:ind w:firstLine="0" w:firstLineChars="0"/>
              <w:jc w:val="center"/>
              <w:rPr>
                <w:rFonts w:hint="default" w:eastAsia="等线"/>
                <w:color w:val="auto"/>
                <w:sz w:val="21"/>
                <w:szCs w:val="21"/>
                <w:highlight w:val="none"/>
                <w:lang w:val="en-US" w:eastAsia="zh-CN"/>
              </w:rPr>
            </w:pPr>
            <w:r>
              <w:rPr>
                <w:rFonts w:hint="eastAsia" w:eastAsia="等线"/>
                <w:color w:val="auto"/>
                <w:sz w:val="21"/>
                <w:szCs w:val="21"/>
                <w:highlight w:val="none"/>
                <w:lang w:val="en-US" w:eastAsia="zh-CN"/>
              </w:rPr>
              <w:t>1223.19</w:t>
            </w:r>
          </w:p>
        </w:tc>
        <w:tc>
          <w:tcPr>
            <w:tcW w:w="929" w:type="dxa"/>
            <w:vAlign w:val="center"/>
          </w:tcPr>
          <w:p w14:paraId="24899629">
            <w:pPr>
              <w:snapToGrid w:val="0"/>
              <w:spacing w:line="240" w:lineRule="auto"/>
              <w:ind w:firstLine="0" w:firstLineChars="0"/>
              <w:jc w:val="center"/>
              <w:rPr>
                <w:rFonts w:eastAsiaTheme="minorEastAsia"/>
                <w:color w:val="auto"/>
                <w:sz w:val="21"/>
                <w:szCs w:val="21"/>
                <w:highlight w:val="none"/>
              </w:rPr>
            </w:pPr>
            <w:r>
              <w:rPr>
                <w:rFonts w:hint="eastAsia" w:eastAsia="等线"/>
                <w:color w:val="auto"/>
                <w:sz w:val="21"/>
                <w:szCs w:val="21"/>
                <w:highlight w:val="none"/>
              </w:rPr>
              <w:t>7510.50</w:t>
            </w:r>
          </w:p>
        </w:tc>
        <w:tc>
          <w:tcPr>
            <w:tcW w:w="1187" w:type="dxa"/>
            <w:vAlign w:val="center"/>
          </w:tcPr>
          <w:p w14:paraId="6509F713">
            <w:pPr>
              <w:snapToGrid w:val="0"/>
              <w:spacing w:line="240" w:lineRule="auto"/>
              <w:ind w:firstLine="0" w:firstLineChars="0"/>
              <w:jc w:val="center"/>
              <w:rPr>
                <w:rFonts w:eastAsiaTheme="minorEastAsia"/>
                <w:color w:val="auto"/>
                <w:sz w:val="21"/>
                <w:szCs w:val="21"/>
                <w:highlight w:val="none"/>
              </w:rPr>
            </w:pPr>
            <w:r>
              <w:rPr>
                <w:rFonts w:hint="eastAsia" w:eastAsia="等线"/>
                <w:color w:val="auto"/>
                <w:sz w:val="21"/>
                <w:szCs w:val="21"/>
                <w:highlight w:val="none"/>
              </w:rPr>
              <w:t>1124.03</w:t>
            </w:r>
          </w:p>
        </w:tc>
        <w:tc>
          <w:tcPr>
            <w:tcW w:w="977" w:type="dxa"/>
            <w:vAlign w:val="center"/>
          </w:tcPr>
          <w:p w14:paraId="2B841FD5">
            <w:pPr>
              <w:snapToGrid w:val="0"/>
              <w:spacing w:line="240" w:lineRule="auto"/>
              <w:ind w:firstLine="0" w:firstLineChars="0"/>
              <w:jc w:val="center"/>
              <w:rPr>
                <w:rFonts w:eastAsiaTheme="minorEastAsia"/>
                <w:color w:val="auto"/>
                <w:sz w:val="21"/>
                <w:szCs w:val="21"/>
                <w:highlight w:val="none"/>
              </w:rPr>
            </w:pPr>
            <w:r>
              <w:rPr>
                <w:rFonts w:hint="eastAsia" w:eastAsia="等线"/>
                <w:color w:val="auto"/>
                <w:sz w:val="21"/>
                <w:szCs w:val="21"/>
                <w:highlight w:val="none"/>
              </w:rPr>
              <w:t>2562.48</w:t>
            </w:r>
          </w:p>
        </w:tc>
        <w:tc>
          <w:tcPr>
            <w:tcW w:w="1012" w:type="dxa"/>
            <w:vAlign w:val="center"/>
          </w:tcPr>
          <w:p w14:paraId="4059DA19">
            <w:pPr>
              <w:snapToGrid w:val="0"/>
              <w:spacing w:line="240" w:lineRule="auto"/>
              <w:ind w:firstLine="0" w:firstLineChars="0"/>
              <w:jc w:val="center"/>
              <w:rPr>
                <w:rFonts w:hint="default" w:eastAsia="等线"/>
                <w:color w:val="auto"/>
                <w:sz w:val="21"/>
                <w:szCs w:val="21"/>
                <w:highlight w:val="none"/>
                <w:lang w:val="en-US" w:eastAsia="zh-CN"/>
              </w:rPr>
            </w:pPr>
            <w:r>
              <w:rPr>
                <w:rFonts w:hint="eastAsia" w:eastAsia="等线"/>
                <w:color w:val="auto"/>
                <w:sz w:val="21"/>
                <w:szCs w:val="21"/>
                <w:highlight w:val="none"/>
                <w:lang w:val="en-US" w:eastAsia="zh-CN"/>
              </w:rPr>
              <w:t>17557.32</w:t>
            </w:r>
          </w:p>
        </w:tc>
      </w:tr>
    </w:tbl>
    <w:p w14:paraId="58865041">
      <w:pPr>
        <w:pStyle w:val="28"/>
        <w:snapToGrid w:val="0"/>
        <w:spacing w:before="120" w:beforeLines="50"/>
        <w:ind w:firstLine="480" w:firstLineChars="200"/>
        <w:rPr>
          <w:rFonts w:hint="eastAsia"/>
          <w:bCs/>
          <w:color w:val="auto"/>
          <w:highlight w:val="none"/>
        </w:rPr>
      </w:pPr>
      <w:r>
        <w:rPr>
          <w:rFonts w:hint="eastAsia"/>
          <w:bCs/>
          <w:color w:val="auto"/>
          <w:highlight w:val="none"/>
        </w:rPr>
        <w:t>本项目人行道及非机动车道均设置透水铺装，绿化带设置下沉式绿化带，绿化带下沉绿地率为</w:t>
      </w:r>
      <w:r>
        <w:rPr>
          <w:rFonts w:hint="eastAsia"/>
          <w:bCs/>
          <w:color w:val="auto"/>
          <w:highlight w:val="none"/>
          <w:lang w:val="en-US" w:eastAsia="zh-CN"/>
        </w:rPr>
        <w:t>80.77</w:t>
      </w:r>
      <w:r>
        <w:rPr>
          <w:rFonts w:hint="eastAsia"/>
          <w:bCs/>
          <w:color w:val="auto"/>
          <w:highlight w:val="none"/>
        </w:rPr>
        <w:t>%，透水铺装率计算为（</w:t>
      </w:r>
      <w:r>
        <w:rPr>
          <w:rFonts w:hint="eastAsia"/>
          <w:bCs/>
          <w:color w:val="auto"/>
          <w:highlight w:val="none"/>
          <w:lang w:val="en-US" w:eastAsia="zh-CN"/>
        </w:rPr>
        <w:t>1124.03+2562.48</w:t>
      </w:r>
      <w:r>
        <w:rPr>
          <w:rFonts w:hint="eastAsia"/>
          <w:bCs/>
          <w:color w:val="auto"/>
          <w:highlight w:val="none"/>
        </w:rPr>
        <w:t>）/（</w:t>
      </w:r>
      <w:r>
        <w:rPr>
          <w:rFonts w:hint="eastAsia"/>
          <w:bCs/>
          <w:color w:val="auto"/>
          <w:highlight w:val="none"/>
          <w:lang w:val="en-US" w:eastAsia="zh-CN"/>
        </w:rPr>
        <w:t>17557.32-5137.12-1223.19</w:t>
      </w:r>
      <w:r>
        <w:rPr>
          <w:rFonts w:hint="eastAsia"/>
          <w:bCs/>
          <w:color w:val="auto"/>
          <w:highlight w:val="none"/>
        </w:rPr>
        <w:t>）=</w:t>
      </w:r>
      <w:r>
        <w:rPr>
          <w:rFonts w:hint="eastAsia"/>
          <w:bCs/>
          <w:color w:val="auto"/>
          <w:highlight w:val="none"/>
          <w:lang w:val="en-US" w:eastAsia="zh-CN"/>
        </w:rPr>
        <w:t>32.92</w:t>
      </w:r>
      <w:r>
        <w:rPr>
          <w:rFonts w:hint="eastAsia"/>
          <w:bCs/>
          <w:color w:val="auto"/>
          <w:highlight w:val="none"/>
        </w:rPr>
        <w:t>%；道路绿地率计算为</w:t>
      </w:r>
      <w:r>
        <w:rPr>
          <w:rFonts w:hint="eastAsia"/>
          <w:bCs/>
          <w:color w:val="auto"/>
          <w:highlight w:val="none"/>
          <w:lang w:eastAsia="zh-CN"/>
        </w:rPr>
        <w:t>（</w:t>
      </w:r>
      <w:r>
        <w:rPr>
          <w:rFonts w:hint="eastAsia"/>
          <w:bCs/>
          <w:color w:val="auto"/>
          <w:highlight w:val="none"/>
          <w:lang w:val="en-US" w:eastAsia="zh-CN"/>
        </w:rPr>
        <w:t>5137.12+1223.19</w:t>
      </w:r>
      <w:r>
        <w:rPr>
          <w:rFonts w:hint="eastAsia"/>
          <w:bCs/>
          <w:color w:val="auto"/>
          <w:highlight w:val="none"/>
          <w:lang w:eastAsia="zh-CN"/>
        </w:rPr>
        <w:t>）</w:t>
      </w:r>
      <w:r>
        <w:rPr>
          <w:rFonts w:hint="eastAsia"/>
          <w:bCs/>
          <w:color w:val="auto"/>
          <w:highlight w:val="none"/>
        </w:rPr>
        <w:t>/</w:t>
      </w:r>
      <w:r>
        <w:rPr>
          <w:rFonts w:hint="eastAsia"/>
          <w:bCs/>
          <w:color w:val="auto"/>
          <w:highlight w:val="none"/>
          <w:lang w:val="en-US" w:eastAsia="zh-CN"/>
        </w:rPr>
        <w:t>17557.32</w:t>
      </w:r>
      <w:r>
        <w:rPr>
          <w:rFonts w:hint="eastAsia"/>
          <w:bCs/>
          <w:color w:val="auto"/>
          <w:highlight w:val="none"/>
        </w:rPr>
        <w:t>=</w:t>
      </w:r>
      <w:r>
        <w:rPr>
          <w:rFonts w:hint="eastAsia"/>
          <w:bCs/>
          <w:color w:val="auto"/>
          <w:highlight w:val="none"/>
          <w:lang w:val="en-US" w:eastAsia="zh-CN"/>
        </w:rPr>
        <w:t>36.23</w:t>
      </w:r>
      <w:r>
        <w:rPr>
          <w:rFonts w:hint="eastAsia"/>
          <w:bCs/>
          <w:color w:val="auto"/>
          <w:highlight w:val="none"/>
        </w:rPr>
        <w:t>%。</w:t>
      </w:r>
    </w:p>
    <w:p w14:paraId="714E1323">
      <w:pPr>
        <w:pStyle w:val="4"/>
        <w:bidi w:val="0"/>
        <w:ind w:left="0" w:leftChars="0" w:firstLine="0" w:firstLineChars="0"/>
        <w:rPr>
          <w:rFonts w:hint="eastAsia"/>
          <w:highlight w:val="none"/>
        </w:rPr>
      </w:pPr>
      <w:r>
        <w:rPr>
          <w:rFonts w:hint="eastAsia"/>
          <w:highlight w:val="none"/>
          <w:lang w:val="en-US" w:eastAsia="zh-CN"/>
        </w:rPr>
        <w:t>内涝</w:t>
      </w:r>
      <w:r>
        <w:rPr>
          <w:rFonts w:hint="eastAsia"/>
          <w:highlight w:val="none"/>
        </w:rPr>
        <w:t>排空时间计算：</w:t>
      </w:r>
    </w:p>
    <w:p w14:paraId="40623BFB">
      <w:pPr>
        <w:widowControl/>
        <w:adjustRightInd w:val="0"/>
        <w:snapToGrid w:val="0"/>
        <w:ind w:firstLine="480"/>
        <w:rPr>
          <w:highlight w:val="none"/>
        </w:rPr>
      </w:pPr>
      <w:r>
        <w:rPr>
          <w:rFonts w:hint="eastAsia" w:ascii="宋体" w:hAnsi="宋体" w:cs="宋体"/>
          <w:color w:val="000000"/>
          <w:kern w:val="0"/>
          <w:szCs w:val="24"/>
          <w:highlight w:val="none"/>
        </w:rPr>
        <w:t>根据《城镇</w:t>
      </w:r>
      <w:r>
        <w:rPr>
          <w:rFonts w:hint="eastAsia" w:ascii="宋体" w:hAnsi="宋体" w:cs="宋体"/>
          <w:color w:val="000000"/>
          <w:kern w:val="0"/>
          <w:szCs w:val="24"/>
          <w:highlight w:val="none"/>
          <w:lang w:val="en-US" w:eastAsia="zh-CN"/>
        </w:rPr>
        <w:t>内涝防治</w:t>
      </w:r>
      <w:r>
        <w:rPr>
          <w:rFonts w:hint="eastAsia" w:ascii="宋体" w:hAnsi="宋体" w:cs="宋体"/>
          <w:color w:val="000000"/>
          <w:kern w:val="0"/>
          <w:szCs w:val="24"/>
          <w:highlight w:val="none"/>
        </w:rPr>
        <w:t>技术规范》（</w:t>
      </w:r>
      <w:r>
        <w:rPr>
          <w:rFonts w:ascii="宋体" w:hAnsi="宋体" w:cs="宋体"/>
          <w:color w:val="000000"/>
          <w:kern w:val="0"/>
          <w:szCs w:val="24"/>
          <w:highlight w:val="none"/>
        </w:rPr>
        <w:t>GB51</w:t>
      </w:r>
      <w:r>
        <w:rPr>
          <w:rFonts w:hint="eastAsia" w:ascii="宋体" w:hAnsi="宋体" w:cs="宋体"/>
          <w:color w:val="000000"/>
          <w:kern w:val="0"/>
          <w:szCs w:val="24"/>
          <w:highlight w:val="none"/>
          <w:lang w:val="en-US" w:eastAsia="zh-CN"/>
        </w:rPr>
        <w:t>222</w:t>
      </w:r>
      <w:r>
        <w:rPr>
          <w:rFonts w:ascii="宋体" w:hAnsi="宋体" w:cs="宋体"/>
          <w:color w:val="000000"/>
          <w:kern w:val="0"/>
          <w:szCs w:val="24"/>
          <w:highlight w:val="none"/>
        </w:rPr>
        <w:t>-2017</w:t>
      </w:r>
      <w:r>
        <w:rPr>
          <w:rFonts w:hint="eastAsia" w:ascii="宋体" w:hAnsi="宋体" w:cs="宋体"/>
          <w:color w:val="000000"/>
          <w:kern w:val="0"/>
          <w:szCs w:val="24"/>
          <w:highlight w:val="none"/>
        </w:rPr>
        <w:t>）</w:t>
      </w:r>
      <w:r>
        <w:rPr>
          <w:rFonts w:ascii="宋体" w:hAnsi="宋体" w:cs="宋体"/>
          <w:color w:val="000000"/>
          <w:kern w:val="0"/>
          <w:szCs w:val="24"/>
          <w:highlight w:val="none"/>
        </w:rPr>
        <w:t>，</w:t>
      </w:r>
      <w:r>
        <w:rPr>
          <w:rFonts w:hint="eastAsia" w:ascii="宋体" w:hAnsi="宋体" w:cs="宋体"/>
          <w:color w:val="000000"/>
          <w:kern w:val="0"/>
          <w:szCs w:val="24"/>
          <w:highlight w:val="none"/>
          <w:lang w:val="en-US" w:eastAsia="zh-CN"/>
        </w:rPr>
        <w:t>内涝排</w:t>
      </w:r>
      <w:r>
        <w:rPr>
          <w:rFonts w:ascii="宋体" w:hAnsi="宋体" w:cs="宋体"/>
          <w:color w:val="000000"/>
          <w:kern w:val="0"/>
          <w:szCs w:val="24"/>
          <w:highlight w:val="none"/>
        </w:rPr>
        <w:t>空时间可按下式计算：</w:t>
      </w:r>
    </w:p>
    <w:p w14:paraId="510AFBC0">
      <w:pPr>
        <w:widowControl/>
        <w:adjustRightInd w:val="0"/>
        <w:snapToGrid w:val="0"/>
        <w:ind w:firstLine="480"/>
        <w:jc w:val="center"/>
        <w:rPr>
          <w:highlight w:val="none"/>
        </w:rPr>
      </w:pPr>
      <w:r>
        <w:rPr>
          <w:rFonts w:ascii="宋体" w:hAnsi="宋体" w:cs="宋体"/>
          <w:color w:val="000000"/>
          <w:kern w:val="0"/>
          <w:szCs w:val="24"/>
          <w:highlight w:val="none"/>
        </w:rPr>
        <w:t>ts= Vsj/3600a*K*J*As</w:t>
      </w:r>
    </w:p>
    <w:p w14:paraId="7F5E06C5">
      <w:pPr>
        <w:ind w:firstLine="480"/>
        <w:jc w:val="left"/>
        <w:rPr>
          <w:rFonts w:hint="eastAsia" w:ascii="宋体" w:hAnsi="宋体" w:cs="宋体"/>
          <w:color w:val="000000"/>
          <w:szCs w:val="24"/>
          <w:highlight w:val="none"/>
        </w:rPr>
      </w:pPr>
      <w:r>
        <w:rPr>
          <w:rFonts w:hint="eastAsia" w:ascii="宋体" w:hAnsi="宋体" w:cs="宋体"/>
          <w:color w:val="000000"/>
          <w:szCs w:val="24"/>
          <w:highlight w:val="none"/>
        </w:rPr>
        <w:t>式中：ts ——渗透排空时间，h；</w:t>
      </w:r>
    </w:p>
    <w:p w14:paraId="60B68B27">
      <w:pPr>
        <w:ind w:firstLine="480"/>
        <w:jc w:val="left"/>
        <w:rPr>
          <w:rFonts w:hint="eastAsia" w:ascii="宋体" w:hAnsi="宋体" w:cs="宋体"/>
          <w:color w:val="000000"/>
          <w:szCs w:val="24"/>
          <w:highlight w:val="none"/>
        </w:rPr>
      </w:pPr>
      <w:r>
        <w:rPr>
          <w:rFonts w:hint="eastAsia" w:ascii="宋体" w:hAnsi="宋体" w:cs="宋体"/>
          <w:color w:val="000000"/>
          <w:szCs w:val="24"/>
          <w:highlight w:val="none"/>
        </w:rPr>
        <w:t>Vsj ——设施的设计有效调蓄容积，m³；</w:t>
      </w:r>
    </w:p>
    <w:p w14:paraId="2CA71409">
      <w:pPr>
        <w:ind w:firstLine="480"/>
        <w:jc w:val="left"/>
        <w:rPr>
          <w:rFonts w:hint="eastAsia" w:ascii="宋体" w:hAnsi="宋体" w:cs="宋体"/>
          <w:color w:val="000000"/>
          <w:szCs w:val="24"/>
          <w:highlight w:val="none"/>
        </w:rPr>
      </w:pPr>
      <w:r>
        <w:rPr>
          <w:rFonts w:hint="eastAsia" w:ascii="宋体" w:hAnsi="宋体" w:cs="宋体"/>
          <w:color w:val="000000"/>
          <w:szCs w:val="24"/>
          <w:highlight w:val="none"/>
        </w:rPr>
        <w:t>α——</w:t>
      </w:r>
      <w:r>
        <w:rPr>
          <w:rFonts w:hint="eastAsia" w:ascii="宋体" w:hAnsi="宋体" w:cs="宋体"/>
          <w:color w:val="000000"/>
          <w:szCs w:val="24"/>
          <w:highlight w:val="none"/>
        </w:rPr>
        <w:fldChar w:fldCharType="begin"/>
      </w:r>
      <w:r>
        <w:rPr>
          <w:rFonts w:hint="eastAsia" w:ascii="宋体" w:hAnsi="宋体" w:cs="宋体"/>
          <w:color w:val="000000"/>
          <w:szCs w:val="24"/>
          <w:highlight w:val="none"/>
        </w:rPr>
        <w:instrText xml:space="preserve"> HYPERLINK "https://www.zhihu.com/search?q=%E7%BB%BC%E5%90%88%E5%AE%89%E5%85%A8%E7%B3%BB%E6%95%B0&amp;search_source=Entity&amp;hybrid_search_source=Entity&amp;hybrid_search_extra={"sourceType":"answer","sourceId":2417209412}" \t "_blank" </w:instrText>
      </w:r>
      <w:r>
        <w:rPr>
          <w:rFonts w:hint="eastAsia" w:ascii="宋体" w:hAnsi="宋体" w:cs="宋体"/>
          <w:color w:val="000000"/>
          <w:szCs w:val="24"/>
          <w:highlight w:val="none"/>
        </w:rPr>
        <w:fldChar w:fldCharType="separate"/>
      </w:r>
      <w:r>
        <w:rPr>
          <w:rFonts w:hint="eastAsia" w:ascii="宋体" w:hAnsi="宋体" w:cs="宋体"/>
          <w:color w:val="000000"/>
          <w:szCs w:val="24"/>
          <w:highlight w:val="none"/>
        </w:rPr>
        <w:t>综合安全系数</w:t>
      </w:r>
      <w:r>
        <w:rPr>
          <w:rFonts w:hint="eastAsia" w:ascii="宋体" w:hAnsi="宋体" w:cs="宋体"/>
          <w:color w:val="000000"/>
          <w:szCs w:val="24"/>
          <w:highlight w:val="none"/>
        </w:rPr>
        <w:fldChar w:fldCharType="end"/>
      </w:r>
      <w:r>
        <w:rPr>
          <w:rFonts w:hint="eastAsia" w:ascii="宋体" w:hAnsi="宋体" w:cs="宋体"/>
          <w:color w:val="000000"/>
          <w:szCs w:val="24"/>
          <w:highlight w:val="none"/>
        </w:rPr>
        <w:t>，一般取 0.5～0.8；</w:t>
      </w:r>
    </w:p>
    <w:p w14:paraId="1FFFB7E6">
      <w:pPr>
        <w:ind w:firstLine="480"/>
        <w:jc w:val="left"/>
        <w:rPr>
          <w:rFonts w:hint="eastAsia" w:ascii="宋体" w:hAnsi="宋体" w:cs="宋体"/>
          <w:color w:val="000000"/>
          <w:szCs w:val="24"/>
          <w:highlight w:val="none"/>
        </w:rPr>
      </w:pPr>
      <w:r>
        <w:rPr>
          <w:rFonts w:hint="eastAsia" w:ascii="宋体" w:hAnsi="宋体" w:cs="宋体"/>
          <w:color w:val="000000"/>
          <w:szCs w:val="24"/>
          <w:highlight w:val="none"/>
        </w:rPr>
        <w:t>K——</w:t>
      </w:r>
      <w:r>
        <w:rPr>
          <w:rFonts w:hint="eastAsia" w:ascii="宋体" w:hAnsi="宋体" w:cs="宋体"/>
          <w:color w:val="000000"/>
          <w:szCs w:val="24"/>
          <w:highlight w:val="none"/>
        </w:rPr>
        <w:fldChar w:fldCharType="begin"/>
      </w:r>
      <w:r>
        <w:rPr>
          <w:rFonts w:hint="eastAsia" w:ascii="宋体" w:hAnsi="宋体" w:cs="宋体"/>
          <w:color w:val="000000"/>
          <w:szCs w:val="24"/>
          <w:highlight w:val="none"/>
        </w:rPr>
        <w:instrText xml:space="preserve"> HYPERLINK "https://www.zhihu.com/search?q=%E5%9C%9F%E5%A3%A4%E6%B8%97%E9%80%8F%E7%B3%BB%E6%95%B0&amp;search_source=Entity&amp;hybrid_search_source=Entity&amp;hybrid_search_extra={"sourceType":"answer","sourceId":2417209412}" \t "_blank" </w:instrText>
      </w:r>
      <w:r>
        <w:rPr>
          <w:rFonts w:hint="eastAsia" w:ascii="宋体" w:hAnsi="宋体" w:cs="宋体"/>
          <w:color w:val="000000"/>
          <w:szCs w:val="24"/>
          <w:highlight w:val="none"/>
        </w:rPr>
        <w:fldChar w:fldCharType="separate"/>
      </w:r>
      <w:r>
        <w:rPr>
          <w:rFonts w:hint="eastAsia" w:ascii="宋体" w:hAnsi="宋体" w:cs="宋体"/>
          <w:color w:val="000000"/>
          <w:szCs w:val="24"/>
          <w:highlight w:val="none"/>
        </w:rPr>
        <w:t>土壤渗透系数</w:t>
      </w:r>
      <w:r>
        <w:rPr>
          <w:rFonts w:hint="eastAsia" w:ascii="宋体" w:hAnsi="宋体" w:cs="宋体"/>
          <w:color w:val="000000"/>
          <w:szCs w:val="24"/>
          <w:highlight w:val="none"/>
        </w:rPr>
        <w:fldChar w:fldCharType="end"/>
      </w:r>
      <w:r>
        <w:rPr>
          <w:rFonts w:hint="eastAsia" w:ascii="宋体" w:hAnsi="宋体" w:cs="宋体"/>
          <w:color w:val="000000"/>
          <w:szCs w:val="24"/>
          <w:highlight w:val="none"/>
        </w:rPr>
        <w:t>，m/s，应以实测为准，资料不足时可参考相关文件系数（附录D）；</w:t>
      </w:r>
    </w:p>
    <w:p w14:paraId="576E1C1E">
      <w:pPr>
        <w:ind w:firstLine="480"/>
        <w:jc w:val="left"/>
        <w:rPr>
          <w:rFonts w:hint="eastAsia" w:ascii="宋体" w:hAnsi="宋体" w:cs="宋体"/>
          <w:color w:val="000000"/>
          <w:szCs w:val="24"/>
          <w:highlight w:val="none"/>
        </w:rPr>
      </w:pPr>
      <w:r>
        <w:rPr>
          <w:rFonts w:hint="eastAsia" w:ascii="宋体" w:hAnsi="宋体" w:cs="宋体"/>
          <w:color w:val="000000"/>
          <w:szCs w:val="24"/>
          <w:highlight w:val="none"/>
        </w:rPr>
        <w:t>J——</w:t>
      </w:r>
      <w:r>
        <w:rPr>
          <w:rFonts w:hint="eastAsia" w:ascii="宋体" w:hAnsi="宋体" w:cs="宋体"/>
          <w:color w:val="000000"/>
          <w:szCs w:val="24"/>
          <w:highlight w:val="none"/>
        </w:rPr>
        <w:fldChar w:fldCharType="begin"/>
      </w:r>
      <w:r>
        <w:rPr>
          <w:rFonts w:hint="eastAsia" w:ascii="宋体" w:hAnsi="宋体" w:cs="宋体"/>
          <w:color w:val="000000"/>
          <w:szCs w:val="24"/>
          <w:highlight w:val="none"/>
        </w:rPr>
        <w:instrText xml:space="preserve"> HYPERLINK "https://www.zhihu.com/search?q=%E6%B0%B4%E5%8A%9B%E5%9D%A1%E9%99%8D&amp;search_source=Entity&amp;hybrid_search_source=Entity&amp;hybrid_search_extra={"sourceType":"answer","sourceId":2417209412}" \t "_blank" </w:instrText>
      </w:r>
      <w:r>
        <w:rPr>
          <w:rFonts w:hint="eastAsia" w:ascii="宋体" w:hAnsi="宋体" w:cs="宋体"/>
          <w:color w:val="000000"/>
          <w:szCs w:val="24"/>
          <w:highlight w:val="none"/>
        </w:rPr>
        <w:fldChar w:fldCharType="separate"/>
      </w:r>
      <w:r>
        <w:rPr>
          <w:rFonts w:hint="eastAsia" w:ascii="宋体" w:hAnsi="宋体" w:cs="宋体"/>
          <w:color w:val="000000"/>
          <w:szCs w:val="24"/>
          <w:highlight w:val="none"/>
        </w:rPr>
        <w:t>水力坡降</w:t>
      </w:r>
      <w:r>
        <w:rPr>
          <w:rFonts w:hint="eastAsia" w:ascii="宋体" w:hAnsi="宋体" w:cs="宋体"/>
          <w:color w:val="000000"/>
          <w:szCs w:val="24"/>
          <w:highlight w:val="none"/>
        </w:rPr>
        <w:fldChar w:fldCharType="end"/>
      </w:r>
      <w:r>
        <w:rPr>
          <w:rFonts w:hint="eastAsia" w:ascii="宋体" w:hAnsi="宋体" w:cs="宋体"/>
          <w:color w:val="000000"/>
          <w:szCs w:val="24"/>
          <w:highlight w:val="none"/>
        </w:rPr>
        <w:t>，一般可取 J=l；</w:t>
      </w:r>
    </w:p>
    <w:p w14:paraId="7D3532B9">
      <w:pPr>
        <w:ind w:firstLine="480"/>
        <w:jc w:val="left"/>
        <w:rPr>
          <w:rFonts w:hint="eastAsia" w:ascii="宋体" w:hAnsi="宋体" w:cs="宋体"/>
          <w:color w:val="000000"/>
          <w:szCs w:val="24"/>
          <w:highlight w:val="none"/>
        </w:rPr>
      </w:pPr>
      <w:r>
        <w:rPr>
          <w:rFonts w:hint="eastAsia" w:ascii="宋体" w:hAnsi="宋体" w:cs="宋体"/>
          <w:color w:val="000000"/>
          <w:szCs w:val="24"/>
          <w:highlight w:val="none"/>
        </w:rPr>
        <w:t>As ——有效渗透面积，㎡ 。</w:t>
      </w:r>
    </w:p>
    <w:p w14:paraId="08730EDE">
      <w:pPr>
        <w:widowControl/>
        <w:adjustRightInd w:val="0"/>
        <w:snapToGrid w:val="0"/>
        <w:ind w:firstLine="480"/>
        <w:rPr>
          <w:rFonts w:hint="default" w:ascii="宋体" w:hAnsi="宋体" w:cs="宋体"/>
          <w:color w:val="000000"/>
          <w:kern w:val="0"/>
          <w:szCs w:val="24"/>
          <w:highlight w:val="yellow"/>
          <w:lang w:val="en-US" w:eastAsia="zh-CN"/>
        </w:rPr>
      </w:pPr>
      <w:r>
        <w:rPr>
          <w:rFonts w:hint="eastAsia" w:ascii="宋体" w:hAnsi="宋体" w:cs="宋体"/>
          <w:color w:val="000000"/>
          <w:kern w:val="0"/>
          <w:szCs w:val="24"/>
          <w:highlight w:val="none"/>
        </w:rPr>
        <w:t>本项目</w:t>
      </w:r>
      <w:r>
        <w:rPr>
          <w:rFonts w:hint="eastAsia" w:ascii="宋体" w:hAnsi="宋体" w:cs="宋体"/>
          <w:color w:val="000000"/>
          <w:kern w:val="0"/>
          <w:szCs w:val="24"/>
          <w:highlight w:val="none"/>
          <w:lang w:val="en-US" w:eastAsia="zh-CN"/>
        </w:rPr>
        <w:t>综合安全系数取值0.6，土壤渗透系数取值1x10^(-5),有效渗透面积5137.12㎡，最终计算渗透排空时间为6.94h</w:t>
      </w:r>
      <w:r>
        <w:rPr>
          <w:rFonts w:hint="eastAsia" w:ascii="宋体" w:hAnsi="宋体" w:cs="宋体"/>
          <w:color w:val="000000"/>
          <w:kern w:val="0"/>
          <w:szCs w:val="24"/>
          <w:highlight w:val="none"/>
        </w:rPr>
        <w:t>≤</w:t>
      </w:r>
      <w:r>
        <w:rPr>
          <w:rFonts w:hint="eastAsia" w:ascii="宋体" w:hAnsi="宋体"/>
          <w:bCs/>
          <w:szCs w:val="24"/>
          <w:highlight w:val="none"/>
          <w:lang w:val="en-US" w:eastAsia="zh-CN"/>
        </w:rPr>
        <w:t>12</w:t>
      </w:r>
      <w:r>
        <w:rPr>
          <w:rFonts w:ascii="宋体" w:hAnsi="宋体"/>
          <w:bCs/>
          <w:szCs w:val="24"/>
          <w:highlight w:val="none"/>
        </w:rPr>
        <w:t>h</w:t>
      </w:r>
      <w:r>
        <w:rPr>
          <w:rFonts w:hint="eastAsia" w:ascii="宋体" w:hAnsi="宋体"/>
          <w:bCs/>
          <w:szCs w:val="24"/>
          <w:highlight w:val="none"/>
        </w:rPr>
        <w:t>，满足</w:t>
      </w:r>
      <w:r>
        <w:rPr>
          <w:rFonts w:hint="eastAsia" w:ascii="宋体" w:hAnsi="宋体"/>
          <w:bCs/>
          <w:szCs w:val="24"/>
          <w:highlight w:val="none"/>
          <w:lang w:val="en-US" w:eastAsia="zh-CN"/>
        </w:rPr>
        <w:t>12</w:t>
      </w:r>
      <w:r>
        <w:rPr>
          <w:rFonts w:hint="eastAsia" w:ascii="宋体" w:hAnsi="宋体"/>
          <w:bCs/>
          <w:szCs w:val="24"/>
          <w:highlight w:val="none"/>
        </w:rPr>
        <w:t>h放空要求。</w:t>
      </w:r>
    </w:p>
    <w:p w14:paraId="30D6C3F6">
      <w:pPr>
        <w:pStyle w:val="3"/>
        <w:bidi w:val="0"/>
        <w:rPr>
          <w:rFonts w:hint="default" w:eastAsia="宋体" w:cs="Times New Roman"/>
          <w:color w:val="auto"/>
          <w:highlight w:val="none"/>
        </w:rPr>
      </w:pPr>
      <w:r>
        <w:rPr>
          <w:rFonts w:hint="eastAsia" w:eastAsia="宋体" w:cs="Times New Roman"/>
          <w:color w:val="auto"/>
          <w:highlight w:val="none"/>
        </w:rPr>
        <w:t>结论与建议</w:t>
      </w:r>
    </w:p>
    <w:p w14:paraId="397504CA">
      <w:pPr>
        <w:pStyle w:val="28"/>
        <w:snapToGrid w:val="0"/>
        <w:ind w:left="0" w:leftChars="0" w:firstLine="480" w:firstLineChars="200"/>
        <w:rPr>
          <w:rFonts w:hint="eastAsia" w:ascii="宋体"/>
          <w:color w:val="auto"/>
          <w:sz w:val="24"/>
          <w:szCs w:val="24"/>
          <w:highlight w:val="none"/>
          <w:lang w:eastAsia="zh-CN"/>
        </w:rPr>
      </w:pPr>
      <w:r>
        <w:rPr>
          <w:rFonts w:hint="eastAsia" w:ascii="宋体"/>
          <w:color w:val="auto"/>
          <w:sz w:val="24"/>
          <w:szCs w:val="24"/>
          <w:highlight w:val="none"/>
          <w:lang w:eastAsia="zh-CN"/>
        </w:rPr>
        <w:t>本工程雨水系统属于市政排水设施，在侧绿化带和中央绿化带采用下凹式绿化带，用于削减道路工程范围内雨水量。本工程路面实施范围内，要求建设后径流量不大于建设前，建设前的雨水径流量</w:t>
      </w:r>
      <w:r>
        <w:rPr>
          <w:rFonts w:hint="eastAsia" w:ascii="宋体" w:hAnsi="宋体" w:cs="宋体"/>
          <w:color w:val="auto"/>
          <w:sz w:val="24"/>
          <w:szCs w:val="24"/>
          <w:highlight w:val="yellow"/>
          <w:lang w:val="en-US" w:eastAsia="zh-CN"/>
        </w:rPr>
        <w:t>130.67</w:t>
      </w:r>
      <w:r>
        <w:rPr>
          <w:rFonts w:hint="eastAsia" w:ascii="宋体" w:hAnsi="宋体" w:cs="宋体"/>
          <w:color w:val="auto"/>
          <w:sz w:val="24"/>
          <w:szCs w:val="24"/>
          <w:highlight w:val="none"/>
          <w:lang w:val="en-US" w:eastAsia="zh-CN"/>
        </w:rPr>
        <w:t xml:space="preserve"> </w:t>
      </w:r>
      <w:r>
        <w:rPr>
          <w:rFonts w:hint="eastAsia" w:ascii="宋体"/>
          <w:color w:val="auto"/>
          <w:sz w:val="24"/>
          <w:szCs w:val="24"/>
          <w:highlight w:val="none"/>
          <w:lang w:eastAsia="zh-CN"/>
        </w:rPr>
        <w:t>L/s，</w:t>
      </w:r>
      <w:r>
        <w:rPr>
          <w:rFonts w:hint="eastAsia" w:ascii="宋体" w:hAnsi="宋体" w:cs="宋体"/>
          <w:color w:val="auto"/>
          <w:sz w:val="24"/>
          <w:szCs w:val="24"/>
          <w:highlight w:val="none"/>
          <w:lang w:eastAsia="zh-CN"/>
        </w:rPr>
        <w:t>建设后</w:t>
      </w:r>
      <w:r>
        <w:rPr>
          <w:rFonts w:hint="eastAsia" w:ascii="宋体" w:hAnsi="宋体" w:cs="宋体"/>
          <w:b/>
          <w:bCs/>
          <w:color w:val="auto"/>
          <w:sz w:val="24"/>
          <w:szCs w:val="24"/>
          <w:highlight w:val="none"/>
          <w:lang w:eastAsia="zh-CN"/>
        </w:rPr>
        <w:t>未</w:t>
      </w:r>
      <w:r>
        <w:rPr>
          <w:rFonts w:hint="eastAsia" w:ascii="宋体" w:hAnsi="宋体" w:cs="宋体"/>
          <w:color w:val="auto"/>
          <w:sz w:val="24"/>
          <w:szCs w:val="24"/>
          <w:highlight w:val="none"/>
          <w:lang w:eastAsia="zh-CN"/>
        </w:rPr>
        <w:t>采取雨水径流控制措施时设计雨水流量</w:t>
      </w:r>
      <w:r>
        <w:rPr>
          <w:rFonts w:hint="eastAsia" w:ascii="宋体" w:hAnsi="宋体" w:cs="宋体"/>
          <w:color w:val="auto"/>
          <w:sz w:val="24"/>
          <w:szCs w:val="24"/>
          <w:highlight w:val="yellow"/>
          <w:lang w:val="en-US" w:eastAsia="zh-CN"/>
        </w:rPr>
        <w:t>379.17</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L/s</w:t>
      </w:r>
      <w:r>
        <w:rPr>
          <w:rFonts w:hint="eastAsia" w:ascii="宋体" w:hAnsi="宋体" w:cs="宋体"/>
          <w:color w:val="auto"/>
          <w:sz w:val="24"/>
          <w:szCs w:val="24"/>
          <w:highlight w:val="none"/>
          <w:lang w:eastAsia="zh-CN"/>
        </w:rPr>
        <w:t>，</w:t>
      </w:r>
      <w:r>
        <w:rPr>
          <w:rFonts w:hint="eastAsia" w:ascii="宋体"/>
          <w:color w:val="auto"/>
          <w:sz w:val="24"/>
          <w:szCs w:val="24"/>
          <w:highlight w:val="none"/>
          <w:lang w:eastAsia="zh-CN"/>
        </w:rPr>
        <w:t>雨水径流削减量为</w:t>
      </w:r>
      <w:r>
        <w:rPr>
          <w:rFonts w:hint="eastAsia" w:ascii="宋体" w:hAnsi="宋体" w:cs="宋体"/>
          <w:color w:val="auto"/>
          <w:sz w:val="24"/>
          <w:szCs w:val="24"/>
          <w:highlight w:val="yellow"/>
          <w:lang w:val="en-US" w:eastAsia="zh-CN"/>
        </w:rPr>
        <w:t>1324.08</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L/</w:t>
      </w:r>
      <w:r>
        <w:rPr>
          <w:rFonts w:hint="eastAsia" w:ascii="宋体" w:hAnsi="宋体" w:cs="宋体"/>
          <w:color w:val="auto"/>
          <w:sz w:val="24"/>
          <w:szCs w:val="24"/>
          <w:highlight w:val="none"/>
          <w:lang w:eastAsia="zh-CN"/>
        </w:rPr>
        <w:t>s</w:t>
      </w:r>
      <w:r>
        <w:rPr>
          <w:rFonts w:hint="eastAsia" w:ascii="宋体"/>
          <w:color w:val="auto"/>
          <w:sz w:val="24"/>
          <w:szCs w:val="24"/>
          <w:highlight w:val="none"/>
          <w:lang w:eastAsia="zh-CN"/>
        </w:rPr>
        <w:t>，建设后的雨水径流量采取径流控制措施后小于建设前的雨水径流量，满足要求。</w:t>
      </w:r>
    </w:p>
    <w:p w14:paraId="021CDFDE">
      <w:pPr>
        <w:pStyle w:val="28"/>
        <w:snapToGrid w:val="0"/>
        <w:ind w:left="0" w:leftChars="0" w:firstLine="480" w:firstLineChars="200"/>
        <w:rPr>
          <w:rFonts w:hint="eastAsia" w:ascii="宋体" w:hAnsi="Times New Roman" w:eastAsia="宋体" w:cs="Times New Roman"/>
          <w:color w:val="auto"/>
          <w:sz w:val="24"/>
          <w:szCs w:val="24"/>
          <w:highlight w:val="none"/>
          <w:lang w:val="en-US" w:eastAsia="zh-CN"/>
        </w:rPr>
      </w:pPr>
      <w:r>
        <w:rPr>
          <w:rFonts w:hint="eastAsia" w:asciiTheme="minorEastAsia" w:hAnsiTheme="minorEastAsia"/>
          <w:color w:val="auto"/>
          <w:highlight w:val="none"/>
        </w:rPr>
        <w:t>本工程年径流总量控制率</w:t>
      </w:r>
      <w:r>
        <w:rPr>
          <w:rFonts w:hint="eastAsia" w:asciiTheme="minorEastAsia" w:hAnsiTheme="minorEastAsia"/>
          <w:color w:val="auto"/>
          <w:highlight w:val="none"/>
          <w:lang w:eastAsia="zh-CN"/>
        </w:rPr>
        <w:t>，</w:t>
      </w:r>
      <w:r>
        <w:rPr>
          <w:rFonts w:hint="eastAsia" w:ascii="宋体" w:hAnsi="宋体"/>
          <w:color w:val="auto"/>
          <w:highlight w:val="none"/>
          <w:lang w:eastAsia="zh-CN"/>
        </w:rPr>
        <w:t>五局联合印发《广州市建设项目海绵城市建设管控指标分类指引（试行）的通知》（2020 年 10 月）</w:t>
      </w:r>
      <w:r>
        <w:rPr>
          <w:rFonts w:hint="eastAsia" w:asciiTheme="minorEastAsia" w:hAnsiTheme="minorEastAsia"/>
          <w:color w:val="auto"/>
          <w:highlight w:val="none"/>
        </w:rPr>
        <w:t>目标取值</w:t>
      </w:r>
      <w:r>
        <w:rPr>
          <w:rFonts w:hint="eastAsia" w:asciiTheme="minorEastAsia" w:hAnsiTheme="minorEastAsia"/>
          <w:color w:val="auto"/>
          <w:highlight w:val="none"/>
          <w:lang w:val="en-US" w:eastAsia="zh-CN"/>
        </w:rPr>
        <w:t>70%，</w:t>
      </w:r>
      <w:r>
        <w:rPr>
          <w:rFonts w:hint="eastAsia" w:ascii="宋体" w:hAnsi="宋体"/>
          <w:sz w:val="24"/>
          <w:highlight w:val="none"/>
          <w:lang w:val="en-US" w:eastAsia="zh-CN"/>
        </w:rPr>
        <w:t>《花都区海绵城市专项规划》</w:t>
      </w:r>
      <w:r>
        <w:rPr>
          <w:rFonts w:hint="eastAsia" w:asciiTheme="minorEastAsia" w:hAnsiTheme="minorEastAsia"/>
          <w:color w:val="auto"/>
          <w:highlight w:val="none"/>
        </w:rPr>
        <w:t>目标取值</w:t>
      </w:r>
      <w:r>
        <w:rPr>
          <w:rFonts w:hint="eastAsia" w:ascii="宋体" w:cs="Times New Roman"/>
          <w:color w:val="auto"/>
          <w:sz w:val="24"/>
          <w:szCs w:val="24"/>
          <w:highlight w:val="none"/>
          <w:lang w:val="en-US" w:eastAsia="zh-CN"/>
        </w:rPr>
        <w:t>6</w:t>
      </w:r>
      <w:r>
        <w:rPr>
          <w:rFonts w:hint="eastAsia" w:ascii="宋体" w:hAnsi="Times New Roman" w:eastAsia="宋体" w:cs="Times New Roman"/>
          <w:color w:val="auto"/>
          <w:sz w:val="24"/>
          <w:szCs w:val="24"/>
          <w:highlight w:val="none"/>
          <w:lang w:eastAsia="zh-CN"/>
        </w:rPr>
        <w:t>9%，</w:t>
      </w:r>
      <w:r>
        <w:rPr>
          <w:rFonts w:hint="eastAsia" w:ascii="宋体" w:hAnsi="Times New Roman" w:eastAsia="宋体" w:cs="Times New Roman"/>
          <w:color w:val="auto"/>
          <w:sz w:val="24"/>
          <w:szCs w:val="24"/>
          <w:highlight w:val="none"/>
          <w:lang w:val="en-US" w:eastAsia="zh-CN"/>
        </w:rPr>
        <w:t>98%大于目标值，满足要求。</w:t>
      </w:r>
    </w:p>
    <w:p w14:paraId="0490CD59">
      <w:pPr>
        <w:pStyle w:val="28"/>
        <w:snapToGrid w:val="0"/>
        <w:ind w:left="0" w:leftChars="0" w:firstLine="480" w:firstLineChars="200"/>
        <w:rPr>
          <w:rFonts w:hint="eastAsia"/>
          <w:bCs/>
          <w:color w:val="auto"/>
          <w:highlight w:val="none"/>
        </w:rPr>
      </w:pPr>
      <w:r>
        <w:rPr>
          <w:rFonts w:hint="eastAsia" w:ascii="宋体" w:hAnsi="Times New Roman" w:eastAsia="宋体" w:cs="Times New Roman"/>
          <w:color w:val="auto"/>
          <w:sz w:val="24"/>
          <w:szCs w:val="24"/>
          <w:highlight w:val="none"/>
          <w:lang w:eastAsia="zh-CN"/>
        </w:rPr>
        <w:t>本工程年径流污染削减率（以TSS计）</w:t>
      </w:r>
      <w:r>
        <w:rPr>
          <w:rFonts w:hint="eastAsia" w:ascii="宋体" w:cs="Times New Roman"/>
          <w:color w:val="auto"/>
          <w:sz w:val="24"/>
          <w:szCs w:val="24"/>
          <w:highlight w:val="none"/>
          <w:lang w:eastAsia="zh-CN"/>
        </w:rPr>
        <w:t>，</w:t>
      </w:r>
      <w:r>
        <w:rPr>
          <w:rFonts w:hint="eastAsia" w:ascii="宋体" w:hAnsi="宋体"/>
          <w:color w:val="auto"/>
          <w:highlight w:val="none"/>
          <w:lang w:eastAsia="zh-CN"/>
        </w:rPr>
        <w:t>五局联合印发《广州市建设项目海绵城市建设管控指标分类指引（试行）的通知》（2020 年 10 月）</w:t>
      </w:r>
      <w:r>
        <w:rPr>
          <w:rFonts w:hint="eastAsia" w:asciiTheme="minorEastAsia" w:hAnsiTheme="minorEastAsia"/>
          <w:color w:val="auto"/>
          <w:highlight w:val="none"/>
        </w:rPr>
        <w:t>目标取值</w:t>
      </w:r>
      <w:r>
        <w:rPr>
          <w:rFonts w:hint="eastAsia" w:asciiTheme="minorEastAsia" w:hAnsiTheme="minorEastAsia"/>
          <w:color w:val="auto"/>
          <w:highlight w:val="none"/>
          <w:lang w:val="en-US" w:eastAsia="zh-CN"/>
        </w:rPr>
        <w:t>50%，</w:t>
      </w:r>
      <w:r>
        <w:rPr>
          <w:rFonts w:hint="eastAsia" w:ascii="宋体" w:hAnsi="宋体"/>
          <w:sz w:val="24"/>
          <w:highlight w:val="none"/>
          <w:lang w:val="en-US" w:eastAsia="zh-CN"/>
        </w:rPr>
        <w:t>《花都区海绵城市专项规划》</w:t>
      </w:r>
      <w:r>
        <w:rPr>
          <w:rFonts w:hint="eastAsia" w:ascii="宋体" w:hAnsi="Times New Roman" w:eastAsia="宋体" w:cs="Times New Roman"/>
          <w:color w:val="auto"/>
          <w:sz w:val="24"/>
          <w:szCs w:val="24"/>
          <w:highlight w:val="none"/>
          <w:lang w:eastAsia="zh-CN"/>
        </w:rPr>
        <w:t>目标取值为50%，</w:t>
      </w:r>
      <w:r>
        <w:rPr>
          <w:rFonts w:hint="eastAsia" w:ascii="宋体" w:hAnsi="Times New Roman" w:eastAsia="宋体" w:cs="Times New Roman"/>
          <w:color w:val="auto"/>
          <w:sz w:val="24"/>
          <w:szCs w:val="24"/>
          <w:highlight w:val="none"/>
          <w:lang w:val="en-US" w:eastAsia="zh-CN"/>
        </w:rPr>
        <w:t>7</w:t>
      </w:r>
      <w:r>
        <w:rPr>
          <w:rFonts w:hint="eastAsia" w:ascii="宋体" w:cs="Times New Roman"/>
          <w:color w:val="auto"/>
          <w:sz w:val="24"/>
          <w:szCs w:val="24"/>
          <w:highlight w:val="none"/>
          <w:lang w:val="en-US" w:eastAsia="zh-CN"/>
        </w:rPr>
        <w:t>3.5</w:t>
      </w:r>
      <w:r>
        <w:rPr>
          <w:rFonts w:hint="eastAsia" w:ascii="宋体" w:hAnsi="Times New Roman" w:eastAsia="宋体" w:cs="Times New Roman"/>
          <w:color w:val="auto"/>
          <w:sz w:val="24"/>
          <w:szCs w:val="24"/>
          <w:highlight w:val="none"/>
          <w:lang w:val="en-US" w:eastAsia="zh-CN"/>
        </w:rPr>
        <w:t>%大于目标值，满足要求。</w:t>
      </w:r>
    </w:p>
    <w:p w14:paraId="0531A0C5">
      <w:pPr>
        <w:pStyle w:val="2"/>
        <w:spacing w:beforeLines="0"/>
        <w:rPr>
          <w:color w:val="auto"/>
          <w:highlight w:val="none"/>
        </w:rPr>
      </w:pPr>
      <w:r>
        <w:rPr>
          <w:rFonts w:hint="eastAsia"/>
          <w:color w:val="auto"/>
          <w:highlight w:val="none"/>
        </w:rPr>
        <w:t xml:space="preserve">投资估算 </w:t>
      </w:r>
    </w:p>
    <w:p w14:paraId="6266EC37">
      <w:pPr>
        <w:pStyle w:val="28"/>
        <w:snapToGrid w:val="0"/>
        <w:ind w:firstLine="480"/>
        <w:rPr>
          <w:rFonts w:hint="eastAsia"/>
          <w:snapToGrid w:val="0"/>
          <w:color w:val="auto"/>
          <w:szCs w:val="22"/>
          <w:highlight w:val="none"/>
          <w:lang w:eastAsia="zh-CN"/>
        </w:rPr>
      </w:pPr>
      <w:r>
        <w:rPr>
          <w:rFonts w:hint="eastAsia"/>
          <w:snapToGrid w:val="0"/>
          <w:color w:val="auto"/>
          <w:szCs w:val="22"/>
          <w:highlight w:val="none"/>
          <w:lang w:eastAsia="zh-CN"/>
        </w:rPr>
        <w:t>本项目建设范围（永安东路二期）内的</w:t>
      </w:r>
      <w:r>
        <w:rPr>
          <w:rFonts w:hint="eastAsia"/>
          <w:snapToGrid w:val="0"/>
          <w:color w:val="auto"/>
          <w:szCs w:val="22"/>
          <w:highlight w:val="none"/>
        </w:rPr>
        <w:t>投资总价为</w:t>
      </w:r>
      <w:r>
        <w:rPr>
          <w:rFonts w:hint="eastAsia"/>
          <w:snapToGrid w:val="0"/>
          <w:color w:val="auto"/>
          <w:szCs w:val="22"/>
          <w:highlight w:val="none"/>
          <w:lang w:val="en-US" w:eastAsia="zh-CN"/>
        </w:rPr>
        <w:t>31.25</w:t>
      </w:r>
      <w:r>
        <w:rPr>
          <w:rFonts w:hint="eastAsia"/>
          <w:snapToGrid w:val="0"/>
          <w:color w:val="auto"/>
          <w:szCs w:val="22"/>
          <w:highlight w:val="none"/>
        </w:rPr>
        <w:t>万元</w:t>
      </w:r>
      <w:r>
        <w:rPr>
          <w:rFonts w:hint="eastAsia"/>
          <w:snapToGrid w:val="0"/>
          <w:color w:val="auto"/>
          <w:szCs w:val="22"/>
          <w:highlight w:val="none"/>
          <w:lang w:eastAsia="zh-CN"/>
        </w:rPr>
        <w:t>。</w:t>
      </w:r>
    </w:p>
    <w:p w14:paraId="69F2FF7E">
      <w:pPr>
        <w:pStyle w:val="28"/>
        <w:snapToGrid w:val="0"/>
        <w:ind w:left="0" w:leftChars="0" w:firstLine="0" w:firstLineChars="0"/>
        <w:jc w:val="center"/>
        <w:rPr>
          <w:rFonts w:hint="eastAsia" w:eastAsia="宋体"/>
          <w:snapToGrid w:val="0"/>
          <w:color w:val="auto"/>
          <w:szCs w:val="22"/>
          <w:highlight w:val="none"/>
          <w:lang w:eastAsia="zh-CN"/>
        </w:rPr>
      </w:pPr>
      <w:r>
        <w:rPr>
          <w:rFonts w:hint="eastAsia"/>
          <w:snapToGrid w:val="0"/>
          <w:color w:val="auto"/>
          <w:szCs w:val="22"/>
          <w:highlight w:val="none"/>
          <w:lang w:eastAsia="zh-CN"/>
        </w:rPr>
        <w:t>本项目</w:t>
      </w:r>
      <w:r>
        <w:rPr>
          <w:rFonts w:hint="eastAsia"/>
          <w:snapToGrid w:val="0"/>
          <w:color w:val="auto"/>
          <w:szCs w:val="22"/>
          <w:highlight w:val="none"/>
        </w:rPr>
        <w:t xml:space="preserve"> LID 设施成本估算</w:t>
      </w:r>
      <w:r>
        <w:rPr>
          <w:rFonts w:hint="eastAsia"/>
          <w:snapToGrid w:val="0"/>
          <w:color w:val="auto"/>
          <w:szCs w:val="22"/>
          <w:highlight w:val="none"/>
          <w:lang w:eastAsia="zh-CN"/>
        </w:rPr>
        <w:t>表</w:t>
      </w:r>
    </w:p>
    <w:tbl>
      <w:tblPr>
        <w:tblStyle w:val="17"/>
        <w:tblW w:w="2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1309"/>
        <w:gridCol w:w="1394"/>
        <w:gridCol w:w="1441"/>
      </w:tblGrid>
      <w:tr w14:paraId="1BA3A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551" w:type="pct"/>
            <w:vAlign w:val="center"/>
          </w:tcPr>
          <w:p w14:paraId="38EE9D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Lid 设施</w:t>
            </w:r>
          </w:p>
        </w:tc>
        <w:tc>
          <w:tcPr>
            <w:tcW w:w="1089" w:type="pct"/>
            <w:vAlign w:val="center"/>
          </w:tcPr>
          <w:p w14:paraId="481702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规模数量</w:t>
            </w:r>
          </w:p>
        </w:tc>
        <w:tc>
          <w:tcPr>
            <w:tcW w:w="1160" w:type="pct"/>
            <w:vAlign w:val="center"/>
          </w:tcPr>
          <w:p w14:paraId="6E37DE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价格(元/m2)</w:t>
            </w:r>
          </w:p>
        </w:tc>
        <w:tc>
          <w:tcPr>
            <w:tcW w:w="1199" w:type="pct"/>
            <w:vAlign w:val="center"/>
          </w:tcPr>
          <w:p w14:paraId="11E27A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造价(万元)</w:t>
            </w:r>
          </w:p>
        </w:tc>
      </w:tr>
      <w:tr w14:paraId="0EFB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51" w:type="pct"/>
            <w:vAlign w:val="center"/>
          </w:tcPr>
          <w:p w14:paraId="5AE508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透水铺砖</w:t>
            </w:r>
          </w:p>
        </w:tc>
        <w:tc>
          <w:tcPr>
            <w:tcW w:w="1089" w:type="pct"/>
            <w:vAlign w:val="center"/>
          </w:tcPr>
          <w:p w14:paraId="7DE5EA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342.6㎡</w:t>
            </w:r>
          </w:p>
        </w:tc>
        <w:tc>
          <w:tcPr>
            <w:tcW w:w="1160" w:type="pct"/>
            <w:vAlign w:val="center"/>
          </w:tcPr>
          <w:p w14:paraId="293308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260</w:t>
            </w:r>
          </w:p>
        </w:tc>
        <w:tc>
          <w:tcPr>
            <w:tcW w:w="1199" w:type="pct"/>
            <w:vAlign w:val="center"/>
          </w:tcPr>
          <w:p w14:paraId="4D0EEC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8.91</w:t>
            </w:r>
          </w:p>
        </w:tc>
      </w:tr>
      <w:tr w14:paraId="29BDA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51" w:type="pct"/>
            <w:vAlign w:val="center"/>
          </w:tcPr>
          <w:p w14:paraId="4CFE91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透水沥青</w:t>
            </w:r>
          </w:p>
        </w:tc>
        <w:tc>
          <w:tcPr>
            <w:tcW w:w="1089" w:type="pct"/>
            <w:vAlign w:val="center"/>
          </w:tcPr>
          <w:p w14:paraId="335675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149.1㎡</w:t>
            </w:r>
          </w:p>
        </w:tc>
        <w:tc>
          <w:tcPr>
            <w:tcW w:w="1160" w:type="pct"/>
            <w:vAlign w:val="center"/>
          </w:tcPr>
          <w:p w14:paraId="38FCBF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240</w:t>
            </w:r>
          </w:p>
        </w:tc>
        <w:tc>
          <w:tcPr>
            <w:tcW w:w="1199" w:type="pct"/>
            <w:vAlign w:val="center"/>
          </w:tcPr>
          <w:p w14:paraId="2E5413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3.58</w:t>
            </w:r>
          </w:p>
        </w:tc>
      </w:tr>
      <w:tr w14:paraId="3CD2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51" w:type="pct"/>
            <w:vAlign w:val="center"/>
          </w:tcPr>
          <w:p w14:paraId="6E5B77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下沉式绿地</w:t>
            </w:r>
          </w:p>
        </w:tc>
        <w:tc>
          <w:tcPr>
            <w:tcW w:w="1089" w:type="pct"/>
            <w:vAlign w:val="center"/>
          </w:tcPr>
          <w:p w14:paraId="05D4AC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525.2㎡</w:t>
            </w:r>
          </w:p>
        </w:tc>
        <w:tc>
          <w:tcPr>
            <w:tcW w:w="1160" w:type="pct"/>
            <w:vAlign w:val="center"/>
          </w:tcPr>
          <w:p w14:paraId="1D94B7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300</w:t>
            </w:r>
          </w:p>
        </w:tc>
        <w:tc>
          <w:tcPr>
            <w:tcW w:w="1199" w:type="pct"/>
            <w:vAlign w:val="center"/>
          </w:tcPr>
          <w:p w14:paraId="4FD178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val="en-US" w:eastAsia="zh-CN"/>
              </w:rPr>
              <w:t>15.76</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不含乔木</w:t>
            </w:r>
            <w:r>
              <w:rPr>
                <w:rFonts w:hint="eastAsia" w:ascii="宋体" w:hAnsi="宋体" w:cs="宋体"/>
                <w:bCs/>
                <w:color w:val="auto"/>
                <w:sz w:val="24"/>
                <w:szCs w:val="24"/>
                <w:highlight w:val="none"/>
                <w:lang w:eastAsia="zh-CN"/>
              </w:rPr>
              <w:t>）</w:t>
            </w:r>
          </w:p>
        </w:tc>
      </w:tr>
      <w:tr w14:paraId="1BB4C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51" w:type="pct"/>
            <w:vAlign w:val="center"/>
          </w:tcPr>
          <w:p w14:paraId="5672DA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溢流式雨水口</w:t>
            </w:r>
          </w:p>
        </w:tc>
        <w:tc>
          <w:tcPr>
            <w:tcW w:w="1089" w:type="pct"/>
            <w:vAlign w:val="center"/>
          </w:tcPr>
          <w:p w14:paraId="74977D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2座</w:t>
            </w:r>
          </w:p>
        </w:tc>
        <w:tc>
          <w:tcPr>
            <w:tcW w:w="1160" w:type="pct"/>
            <w:vAlign w:val="center"/>
          </w:tcPr>
          <w:p w14:paraId="64B69A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1500</w:t>
            </w:r>
          </w:p>
        </w:tc>
        <w:tc>
          <w:tcPr>
            <w:tcW w:w="1199" w:type="pct"/>
            <w:vAlign w:val="center"/>
          </w:tcPr>
          <w:p w14:paraId="19BF00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3.0</w:t>
            </w:r>
          </w:p>
        </w:tc>
      </w:tr>
      <w:tr w14:paraId="381D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3800" w:type="pct"/>
            <w:gridSpan w:val="3"/>
            <w:vAlign w:val="center"/>
          </w:tcPr>
          <w:p w14:paraId="62946D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总造价</w:t>
            </w:r>
          </w:p>
        </w:tc>
        <w:tc>
          <w:tcPr>
            <w:tcW w:w="1199" w:type="pct"/>
            <w:vAlign w:val="center"/>
          </w:tcPr>
          <w:p w14:paraId="733039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31.25</w:t>
            </w:r>
          </w:p>
        </w:tc>
      </w:tr>
    </w:tbl>
    <w:p w14:paraId="1E1D77FA">
      <w:pPr>
        <w:pStyle w:val="28"/>
        <w:snapToGrid w:val="0"/>
        <w:ind w:firstLine="480"/>
        <w:rPr>
          <w:rFonts w:hint="eastAsia"/>
          <w:snapToGrid w:val="0"/>
          <w:color w:val="auto"/>
          <w:szCs w:val="22"/>
          <w:highlight w:val="none"/>
        </w:rPr>
      </w:pPr>
    </w:p>
    <w:p w14:paraId="62BE0038">
      <w:pPr>
        <w:pStyle w:val="2"/>
        <w:spacing w:beforeLines="0"/>
        <w:rPr>
          <w:color w:val="auto"/>
          <w:highlight w:val="none"/>
        </w:rPr>
      </w:pPr>
      <w:r>
        <w:rPr>
          <w:rFonts w:hint="eastAsia"/>
          <w:color w:val="auto"/>
          <w:highlight w:val="none"/>
        </w:rPr>
        <w:t xml:space="preserve">雨水管网的计算 </w:t>
      </w:r>
    </w:p>
    <w:p w14:paraId="44E77B7A">
      <w:pPr>
        <w:spacing w:line="360" w:lineRule="auto"/>
        <w:ind w:firstLine="480" w:firstLineChars="0"/>
        <w:rPr>
          <w:color w:val="auto"/>
          <w:szCs w:val="22"/>
          <w:highlight w:val="none"/>
        </w:rPr>
      </w:pPr>
      <w:r>
        <w:rPr>
          <w:rFonts w:hint="eastAsia"/>
          <w:color w:val="auto"/>
          <w:szCs w:val="22"/>
          <w:highlight w:val="none"/>
        </w:rPr>
        <w:t>（1）暴雨强度公式</w:t>
      </w:r>
    </w:p>
    <w:p w14:paraId="3663772C">
      <w:pPr>
        <w:spacing w:line="360" w:lineRule="auto"/>
        <w:ind w:firstLine="480"/>
        <w:rPr>
          <w:color w:val="auto"/>
          <w:szCs w:val="22"/>
          <w:highlight w:val="none"/>
        </w:rPr>
      </w:pPr>
      <w:r>
        <w:rPr>
          <w:rFonts w:hint="eastAsia"/>
          <w:color w:val="auto"/>
          <w:szCs w:val="22"/>
          <w:highlight w:val="none"/>
        </w:rPr>
        <w:t>采用广州市花都区相应设计重现期的暴雨强度计算公式：</w:t>
      </w:r>
    </w:p>
    <w:p w14:paraId="2D198EBE">
      <w:pPr>
        <w:pStyle w:val="41"/>
        <w:keepNext w:val="0"/>
        <w:keepLines w:val="0"/>
        <w:widowControl/>
        <w:suppressLineNumbers w:val="0"/>
        <w:spacing w:before="0" w:beforeAutospacing="0" w:after="0" w:afterAutospacing="0"/>
        <w:ind w:left="0" w:right="0" w:firstLine="480"/>
        <w:jc w:val="center"/>
        <w:rPr>
          <w:color w:val="auto"/>
          <w:szCs w:val="22"/>
          <w:highlight w:val="none"/>
        </w:rPr>
      </w:pPr>
      <w:r>
        <w:rPr>
          <w:rFonts w:hint="eastAsia" w:asciiTheme="minorEastAsia" w:hAnsiTheme="minorEastAsia" w:eastAsiaTheme="minorEastAsia" w:cstheme="minorEastAsia"/>
          <w:color w:val="auto"/>
          <w:sz w:val="24"/>
          <w:szCs w:val="24"/>
          <w:highlight w:val="none"/>
          <w:lang w:eastAsia="zh-CN"/>
        </w:rPr>
        <w:t>q=</w:t>
      </w:r>
      <w:r>
        <w:rPr>
          <w:rFonts w:hint="eastAsia" w:asciiTheme="minorEastAsia" w:hAnsiTheme="minorEastAsia" w:eastAsiaTheme="minorEastAsia" w:cstheme="minorEastAsia"/>
          <w:color w:val="auto"/>
          <w:sz w:val="24"/>
          <w:szCs w:val="24"/>
          <w:highlight w:val="none"/>
          <w:lang w:val="en-US" w:eastAsia="zh-CN"/>
        </w:rPr>
        <w:t>7599.335</w:t>
      </w:r>
      <w:r>
        <w:rPr>
          <w:rFonts w:hint="eastAsia" w:asciiTheme="minorEastAsia" w:hAnsiTheme="minorEastAsia" w:eastAsiaTheme="minorEastAsia" w:cstheme="minorEastAsia"/>
          <w:color w:val="auto"/>
          <w:sz w:val="24"/>
          <w:szCs w:val="24"/>
          <w:highlight w:val="none"/>
          <w:lang w:eastAsia="zh-CN"/>
        </w:rPr>
        <w:t>/(t+</w:t>
      </w:r>
      <w:r>
        <w:rPr>
          <w:rFonts w:hint="eastAsia" w:asciiTheme="minorEastAsia" w:hAnsiTheme="minorEastAsia" w:eastAsiaTheme="minorEastAsia" w:cstheme="minorEastAsia"/>
          <w:color w:val="auto"/>
          <w:sz w:val="24"/>
          <w:szCs w:val="24"/>
          <w:highlight w:val="none"/>
          <w:lang w:val="en-US" w:eastAsia="zh-CN"/>
        </w:rPr>
        <w:t>26.213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vertAlign w:val="superscript"/>
          <w:lang w:val="en-US" w:eastAsia="zh-CN"/>
        </w:rPr>
        <w:t>0.800</w:t>
      </w:r>
      <w:r>
        <w:rPr>
          <w:rFonts w:hint="eastAsia" w:asciiTheme="minorEastAsia" w:hAnsiTheme="minorEastAsia" w:eastAsiaTheme="minorEastAsia" w:cstheme="minorEastAsia"/>
          <w:color w:val="auto"/>
          <w:sz w:val="24"/>
          <w:szCs w:val="24"/>
          <w:highlight w:val="none"/>
          <w:lang w:eastAsia="zh-CN"/>
        </w:rPr>
        <w:t>（L/s.hm</w:t>
      </w:r>
      <w:r>
        <w:rPr>
          <w:rFonts w:hint="eastAsia" w:asciiTheme="minorEastAsia" w:hAnsiTheme="minorEastAsia" w:eastAsiaTheme="minorEastAsia" w:cstheme="minorEastAsia"/>
          <w:color w:val="auto"/>
          <w:sz w:val="24"/>
          <w:szCs w:val="24"/>
          <w:highlight w:val="none"/>
          <w:vertAlign w:val="superscript"/>
          <w:lang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（P=</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年）</w:t>
      </w:r>
    </w:p>
    <w:p w14:paraId="31179E54">
      <w:pPr>
        <w:spacing w:line="360" w:lineRule="auto"/>
        <w:ind w:firstLine="480"/>
        <w:rPr>
          <w:color w:val="auto"/>
          <w:szCs w:val="22"/>
          <w:highlight w:val="none"/>
        </w:rPr>
      </w:pPr>
      <w:r>
        <w:rPr>
          <w:rFonts w:hint="eastAsia"/>
          <w:color w:val="auto"/>
          <w:szCs w:val="22"/>
          <w:highlight w:val="none"/>
        </w:rPr>
        <w:t>其中，</w:t>
      </w:r>
      <w:r>
        <w:rPr>
          <w:color w:val="auto"/>
          <w:szCs w:val="22"/>
          <w:highlight w:val="none"/>
        </w:rPr>
        <w:t>t=t</w:t>
      </w:r>
      <w:r>
        <w:rPr>
          <w:color w:val="auto"/>
          <w:szCs w:val="22"/>
          <w:highlight w:val="none"/>
          <w:vertAlign w:val="subscript"/>
        </w:rPr>
        <w:t>1</w:t>
      </w:r>
      <w:r>
        <w:rPr>
          <w:color w:val="auto"/>
          <w:szCs w:val="22"/>
          <w:highlight w:val="none"/>
        </w:rPr>
        <w:t>+t</w:t>
      </w:r>
      <w:r>
        <w:rPr>
          <w:color w:val="auto"/>
          <w:szCs w:val="22"/>
          <w:highlight w:val="none"/>
          <w:vertAlign w:val="subscript"/>
        </w:rPr>
        <w:t>2</w:t>
      </w:r>
    </w:p>
    <w:p w14:paraId="4B80DC34">
      <w:pPr>
        <w:spacing w:line="360" w:lineRule="auto"/>
        <w:ind w:firstLine="1274" w:firstLineChars="531"/>
        <w:rPr>
          <w:color w:val="auto"/>
          <w:szCs w:val="22"/>
          <w:highlight w:val="none"/>
        </w:rPr>
      </w:pPr>
      <w:r>
        <w:rPr>
          <w:color w:val="auto"/>
          <w:szCs w:val="22"/>
          <w:highlight w:val="none"/>
        </w:rPr>
        <w:t>t</w:t>
      </w:r>
      <w:r>
        <w:rPr>
          <w:color w:val="auto"/>
          <w:szCs w:val="22"/>
          <w:highlight w:val="none"/>
          <w:vertAlign w:val="subscript"/>
        </w:rPr>
        <w:t>1</w:t>
      </w:r>
      <w:r>
        <w:rPr>
          <w:rFonts w:hint="eastAsia"/>
          <w:color w:val="auto"/>
          <w:szCs w:val="22"/>
          <w:highlight w:val="none"/>
        </w:rPr>
        <w:t>——地面集水时间（分钟）</w:t>
      </w:r>
    </w:p>
    <w:p w14:paraId="6F623285">
      <w:pPr>
        <w:spacing w:line="360" w:lineRule="auto"/>
        <w:ind w:firstLine="1274" w:firstLineChars="531"/>
        <w:rPr>
          <w:color w:val="auto"/>
          <w:szCs w:val="22"/>
          <w:highlight w:val="none"/>
        </w:rPr>
      </w:pPr>
      <w:r>
        <w:rPr>
          <w:color w:val="auto"/>
          <w:szCs w:val="22"/>
          <w:highlight w:val="none"/>
        </w:rPr>
        <w:t>t</w:t>
      </w:r>
      <w:r>
        <w:rPr>
          <w:color w:val="auto"/>
          <w:szCs w:val="22"/>
          <w:highlight w:val="none"/>
          <w:vertAlign w:val="subscript"/>
        </w:rPr>
        <w:t>2</w:t>
      </w:r>
      <w:r>
        <w:rPr>
          <w:rFonts w:hint="eastAsia"/>
          <w:color w:val="auto"/>
          <w:szCs w:val="22"/>
          <w:highlight w:val="none"/>
        </w:rPr>
        <w:t>——管内雨水流行时间（分钟）</w:t>
      </w:r>
    </w:p>
    <w:p w14:paraId="0238E598">
      <w:pPr>
        <w:spacing w:line="360" w:lineRule="auto"/>
        <w:ind w:firstLine="1274" w:firstLineChars="531"/>
        <w:rPr>
          <w:color w:val="auto"/>
          <w:szCs w:val="22"/>
          <w:highlight w:val="none"/>
        </w:rPr>
      </w:pPr>
      <w:r>
        <w:rPr>
          <w:rFonts w:hint="eastAsia"/>
          <w:color w:val="auto"/>
          <w:szCs w:val="22"/>
          <w:highlight w:val="none"/>
        </w:rPr>
        <w:t>q——暴雨强度，L/s·ha</w:t>
      </w:r>
    </w:p>
    <w:p w14:paraId="253415E3">
      <w:pPr>
        <w:spacing w:line="360" w:lineRule="auto"/>
        <w:ind w:firstLine="1200" w:firstLineChars="500"/>
        <w:rPr>
          <w:color w:val="auto"/>
          <w:szCs w:val="22"/>
          <w:highlight w:val="none"/>
        </w:rPr>
      </w:pPr>
      <w:r>
        <w:rPr>
          <w:color w:val="auto"/>
          <w:szCs w:val="22"/>
          <w:highlight w:val="none"/>
        </w:rPr>
        <w:t>P</w:t>
      </w:r>
      <w:r>
        <w:rPr>
          <w:rFonts w:hint="eastAsia"/>
          <w:color w:val="auto"/>
          <w:szCs w:val="22"/>
          <w:highlight w:val="none"/>
        </w:rPr>
        <w:t>——设计重现期，取</w:t>
      </w:r>
      <w:r>
        <w:rPr>
          <w:rFonts w:hint="eastAsia"/>
          <w:color w:val="auto"/>
          <w:szCs w:val="22"/>
          <w:highlight w:val="none"/>
          <w:lang w:val="en-US" w:eastAsia="zh-CN"/>
        </w:rPr>
        <w:t>5</w:t>
      </w:r>
      <w:r>
        <w:rPr>
          <w:rFonts w:hint="eastAsia"/>
          <w:color w:val="auto"/>
          <w:szCs w:val="22"/>
          <w:highlight w:val="none"/>
        </w:rPr>
        <w:t>年</w:t>
      </w:r>
      <w:r>
        <w:rPr>
          <w:color w:val="auto"/>
          <w:szCs w:val="22"/>
          <w:highlight w:val="none"/>
        </w:rPr>
        <w:t xml:space="preserve"> </w:t>
      </w:r>
    </w:p>
    <w:p w14:paraId="58E74B0A">
      <w:pPr>
        <w:spacing w:line="360" w:lineRule="auto"/>
        <w:ind w:firstLine="480"/>
        <w:rPr>
          <w:rFonts w:ascii="宋体" w:hAnsi="宋体" w:cs="宋体"/>
          <w:snapToGrid w:val="0"/>
          <w:color w:val="auto"/>
          <w:szCs w:val="22"/>
          <w:highlight w:val="none"/>
        </w:rPr>
      </w:pPr>
      <w:r>
        <w:rPr>
          <w:rFonts w:hint="eastAsia"/>
          <w:color w:val="auto"/>
          <w:szCs w:val="22"/>
          <w:highlight w:val="none"/>
        </w:rPr>
        <w:t>（</w:t>
      </w:r>
      <w:r>
        <w:rPr>
          <w:color w:val="auto"/>
          <w:szCs w:val="22"/>
          <w:highlight w:val="none"/>
        </w:rPr>
        <w:t>2</w:t>
      </w:r>
      <w:r>
        <w:rPr>
          <w:rFonts w:hint="eastAsia"/>
          <w:color w:val="auto"/>
          <w:szCs w:val="22"/>
          <w:highlight w:val="none"/>
        </w:rPr>
        <w:t>）</w:t>
      </w:r>
      <w:r>
        <w:rPr>
          <w:rFonts w:hint="eastAsia" w:ascii="宋体" w:hAnsi="宋体" w:cs="宋体"/>
          <w:snapToGrid w:val="0"/>
          <w:color w:val="auto"/>
          <w:szCs w:val="22"/>
          <w:highlight w:val="none"/>
        </w:rPr>
        <w:t>雨水管道流量计算公式</w:t>
      </w:r>
    </w:p>
    <w:p w14:paraId="1BAB215B">
      <w:pPr>
        <w:spacing w:line="360" w:lineRule="auto"/>
        <w:ind w:firstLine="480"/>
        <w:rPr>
          <w:color w:val="auto"/>
          <w:szCs w:val="22"/>
          <w:highlight w:val="none"/>
        </w:rPr>
      </w:pPr>
      <w:r>
        <w:rPr>
          <w:rFonts w:hint="eastAsia"/>
          <w:color w:val="auto"/>
          <w:szCs w:val="22"/>
          <w:highlight w:val="none"/>
        </w:rPr>
        <w:t>雨水</w:t>
      </w:r>
      <w:r>
        <w:rPr>
          <w:rFonts w:hint="eastAsia" w:ascii="宋体" w:hAnsi="宋体" w:cs="宋体"/>
          <w:snapToGrid w:val="0"/>
          <w:color w:val="auto"/>
          <w:szCs w:val="22"/>
          <w:highlight w:val="none"/>
        </w:rPr>
        <w:t>设计流量按照以下公式进行计算</w:t>
      </w:r>
      <w:r>
        <w:rPr>
          <w:rFonts w:hint="eastAsia"/>
          <w:color w:val="auto"/>
          <w:szCs w:val="22"/>
          <w:highlight w:val="none"/>
        </w:rPr>
        <w:t>：</w:t>
      </w:r>
    </w:p>
    <w:p w14:paraId="0008290D">
      <w:pPr>
        <w:spacing w:line="360" w:lineRule="auto"/>
        <w:ind w:firstLine="480"/>
        <w:jc w:val="center"/>
        <w:rPr>
          <w:color w:val="auto"/>
          <w:szCs w:val="22"/>
          <w:highlight w:val="none"/>
        </w:rPr>
      </w:pPr>
      <w:r>
        <w:rPr>
          <w:color w:val="auto"/>
          <w:szCs w:val="22"/>
          <w:highlight w:val="none"/>
        </w:rPr>
        <w:t>Q=q</w:t>
      </w:r>
      <w:r>
        <w:rPr>
          <w:rFonts w:hint="eastAsia"/>
          <w:color w:val="auto"/>
          <w:szCs w:val="22"/>
          <w:highlight w:val="none"/>
        </w:rPr>
        <w:t>·</w:t>
      </w:r>
      <w:r>
        <w:rPr>
          <w:color w:val="auto"/>
          <w:szCs w:val="22"/>
          <w:highlight w:val="none"/>
        </w:rPr>
        <w:t>F</w:t>
      </w:r>
      <w:r>
        <w:rPr>
          <w:rFonts w:hint="eastAsia"/>
          <w:color w:val="auto"/>
          <w:szCs w:val="22"/>
          <w:highlight w:val="none"/>
        </w:rPr>
        <w:t>·Ψ</w:t>
      </w:r>
    </w:p>
    <w:p w14:paraId="6A6534E9">
      <w:pPr>
        <w:spacing w:line="360" w:lineRule="auto"/>
        <w:ind w:firstLine="480"/>
        <w:rPr>
          <w:color w:val="auto"/>
          <w:szCs w:val="22"/>
          <w:highlight w:val="none"/>
        </w:rPr>
      </w:pPr>
      <w:r>
        <w:rPr>
          <w:rFonts w:hint="eastAsia"/>
          <w:color w:val="auto"/>
          <w:szCs w:val="22"/>
          <w:highlight w:val="none"/>
        </w:rPr>
        <w:t>式中：</w:t>
      </w:r>
      <w:r>
        <w:rPr>
          <w:color w:val="auto"/>
          <w:szCs w:val="22"/>
          <w:highlight w:val="none"/>
        </w:rPr>
        <w:t>Q</w:t>
      </w:r>
      <w:r>
        <w:rPr>
          <w:rFonts w:hint="eastAsia"/>
          <w:color w:val="auto"/>
          <w:szCs w:val="22"/>
          <w:highlight w:val="none"/>
        </w:rPr>
        <w:t>——雨水设计流量（</w:t>
      </w:r>
      <w:r>
        <w:rPr>
          <w:color w:val="auto"/>
          <w:szCs w:val="22"/>
          <w:highlight w:val="none"/>
        </w:rPr>
        <w:t>L/s</w:t>
      </w:r>
      <w:r>
        <w:rPr>
          <w:rFonts w:hint="eastAsia"/>
          <w:color w:val="auto"/>
          <w:szCs w:val="22"/>
          <w:highlight w:val="none"/>
        </w:rPr>
        <w:t>）；</w:t>
      </w:r>
    </w:p>
    <w:p w14:paraId="3E15662F">
      <w:pPr>
        <w:spacing w:line="360" w:lineRule="auto"/>
        <w:ind w:firstLine="1274" w:firstLineChars="531"/>
        <w:rPr>
          <w:color w:val="auto"/>
          <w:szCs w:val="22"/>
          <w:highlight w:val="none"/>
        </w:rPr>
      </w:pPr>
      <w:r>
        <w:rPr>
          <w:color w:val="auto"/>
          <w:szCs w:val="22"/>
          <w:highlight w:val="none"/>
        </w:rPr>
        <w:t>q</w:t>
      </w:r>
      <w:r>
        <w:rPr>
          <w:rFonts w:hint="eastAsia"/>
          <w:color w:val="auto"/>
          <w:szCs w:val="22"/>
          <w:highlight w:val="none"/>
        </w:rPr>
        <w:t>——设计暴雨强度（</w:t>
      </w:r>
      <w:r>
        <w:rPr>
          <w:color w:val="auto"/>
          <w:szCs w:val="22"/>
          <w:highlight w:val="none"/>
        </w:rPr>
        <w:t>L/s</w:t>
      </w:r>
      <w:r>
        <w:rPr>
          <w:rFonts w:hint="eastAsia"/>
          <w:color w:val="auto"/>
          <w:szCs w:val="22"/>
          <w:highlight w:val="none"/>
        </w:rPr>
        <w:t>·</w:t>
      </w:r>
      <w:r>
        <w:rPr>
          <w:color w:val="auto"/>
          <w:szCs w:val="22"/>
          <w:highlight w:val="none"/>
        </w:rPr>
        <w:t>hm</w:t>
      </w:r>
      <w:r>
        <w:rPr>
          <w:color w:val="auto"/>
          <w:szCs w:val="22"/>
          <w:highlight w:val="none"/>
          <w:vertAlign w:val="superscript"/>
        </w:rPr>
        <w:t>2</w:t>
      </w:r>
      <w:r>
        <w:rPr>
          <w:rFonts w:hint="eastAsia"/>
          <w:color w:val="auto"/>
          <w:szCs w:val="22"/>
          <w:highlight w:val="none"/>
        </w:rPr>
        <w:t>）；</w:t>
      </w:r>
    </w:p>
    <w:p w14:paraId="26F23240">
      <w:pPr>
        <w:spacing w:line="360" w:lineRule="auto"/>
        <w:ind w:firstLine="1274" w:firstLineChars="531"/>
        <w:rPr>
          <w:color w:val="auto"/>
          <w:szCs w:val="22"/>
          <w:highlight w:val="none"/>
        </w:rPr>
      </w:pPr>
      <w:r>
        <w:rPr>
          <w:color w:val="auto"/>
          <w:szCs w:val="22"/>
          <w:highlight w:val="none"/>
        </w:rPr>
        <w:t>F</w:t>
      </w:r>
      <w:r>
        <w:rPr>
          <w:rFonts w:hint="eastAsia"/>
          <w:color w:val="auto"/>
          <w:szCs w:val="22"/>
          <w:highlight w:val="none"/>
        </w:rPr>
        <w:t>——汇水面积（</w:t>
      </w:r>
      <w:r>
        <w:rPr>
          <w:color w:val="auto"/>
          <w:szCs w:val="22"/>
          <w:highlight w:val="none"/>
        </w:rPr>
        <w:t>hm</w:t>
      </w:r>
      <w:r>
        <w:rPr>
          <w:color w:val="auto"/>
          <w:szCs w:val="22"/>
          <w:highlight w:val="none"/>
          <w:vertAlign w:val="superscript"/>
        </w:rPr>
        <w:t>2</w:t>
      </w:r>
      <w:r>
        <w:rPr>
          <w:rFonts w:hint="eastAsia"/>
          <w:color w:val="auto"/>
          <w:szCs w:val="22"/>
          <w:highlight w:val="none"/>
        </w:rPr>
        <w:t>）；</w:t>
      </w:r>
    </w:p>
    <w:p w14:paraId="23A20396">
      <w:pPr>
        <w:spacing w:line="360" w:lineRule="auto"/>
        <w:ind w:firstLine="1274" w:firstLineChars="531"/>
        <w:rPr>
          <w:color w:val="auto"/>
          <w:szCs w:val="22"/>
          <w:highlight w:val="none"/>
        </w:rPr>
      </w:pPr>
      <w:r>
        <w:rPr>
          <w:rFonts w:hint="eastAsia"/>
          <w:color w:val="auto"/>
          <w:szCs w:val="22"/>
          <w:highlight w:val="none"/>
        </w:rPr>
        <w:t>Ψ——综合径流系数，综合径流系数采用地面径流系数加权平均计算。</w:t>
      </w:r>
    </w:p>
    <w:p w14:paraId="41148281">
      <w:pPr>
        <w:spacing w:line="360" w:lineRule="auto"/>
        <w:ind w:firstLine="480"/>
        <w:rPr>
          <w:snapToGrid w:val="0"/>
          <w:color w:val="auto"/>
          <w:szCs w:val="22"/>
          <w:highlight w:val="none"/>
        </w:rPr>
      </w:pPr>
      <w:r>
        <w:rPr>
          <w:rFonts w:hint="eastAsia"/>
          <w:snapToGrid w:val="0"/>
          <w:color w:val="auto"/>
          <w:szCs w:val="22"/>
          <w:highlight w:val="none"/>
        </w:rPr>
        <w:t>（3）雨水设计参数</w:t>
      </w:r>
    </w:p>
    <w:p w14:paraId="204680B2">
      <w:pPr>
        <w:spacing w:line="360" w:lineRule="auto"/>
        <w:ind w:firstLine="480"/>
        <w:rPr>
          <w:snapToGrid w:val="0"/>
          <w:color w:val="auto"/>
          <w:szCs w:val="22"/>
          <w:highlight w:val="none"/>
        </w:rPr>
      </w:pPr>
      <w:r>
        <w:rPr>
          <w:rFonts w:hint="eastAsia"/>
          <w:snapToGrid w:val="0"/>
          <w:color w:val="auto"/>
          <w:szCs w:val="22"/>
          <w:highlight w:val="none"/>
        </w:rPr>
        <w:t>1）设计重现期P</w:t>
      </w:r>
    </w:p>
    <w:p w14:paraId="3367A38E">
      <w:pPr>
        <w:spacing w:line="360" w:lineRule="auto"/>
        <w:ind w:firstLine="480"/>
        <w:rPr>
          <w:snapToGrid w:val="0"/>
          <w:color w:val="auto"/>
          <w:szCs w:val="22"/>
          <w:highlight w:val="none"/>
        </w:rPr>
      </w:pPr>
      <w:r>
        <w:rPr>
          <w:rFonts w:hint="eastAsia"/>
          <w:snapToGrid w:val="0"/>
          <w:color w:val="auto"/>
          <w:szCs w:val="22"/>
          <w:highlight w:val="none"/>
        </w:rPr>
        <w:t>本次设计雨水重现期取：P=</w:t>
      </w:r>
      <w:r>
        <w:rPr>
          <w:rFonts w:hint="eastAsia"/>
          <w:snapToGrid w:val="0"/>
          <w:color w:val="auto"/>
          <w:szCs w:val="22"/>
          <w:highlight w:val="none"/>
          <w:lang w:val="en-US" w:eastAsia="zh-CN"/>
        </w:rPr>
        <w:t>5</w:t>
      </w:r>
      <w:r>
        <w:rPr>
          <w:rFonts w:hint="eastAsia"/>
          <w:snapToGrid w:val="0"/>
          <w:color w:val="auto"/>
          <w:szCs w:val="22"/>
          <w:highlight w:val="none"/>
        </w:rPr>
        <w:t>年。</w:t>
      </w:r>
    </w:p>
    <w:p w14:paraId="1E8EB191">
      <w:pPr>
        <w:spacing w:line="360" w:lineRule="auto"/>
        <w:ind w:firstLine="480"/>
        <w:rPr>
          <w:snapToGrid w:val="0"/>
          <w:color w:val="auto"/>
          <w:szCs w:val="22"/>
          <w:highlight w:val="none"/>
        </w:rPr>
      </w:pPr>
      <w:r>
        <w:rPr>
          <w:rFonts w:hint="eastAsia"/>
          <w:snapToGrid w:val="0"/>
          <w:color w:val="auto"/>
          <w:szCs w:val="22"/>
          <w:highlight w:val="none"/>
        </w:rPr>
        <w:t>2）降雨历时t</w:t>
      </w:r>
    </w:p>
    <w:p w14:paraId="3ACC3A77">
      <w:pPr>
        <w:spacing w:line="360" w:lineRule="auto"/>
        <w:ind w:firstLine="480"/>
        <w:rPr>
          <w:snapToGrid w:val="0"/>
          <w:color w:val="auto"/>
          <w:szCs w:val="22"/>
          <w:highlight w:val="none"/>
        </w:rPr>
      </w:pPr>
      <w:r>
        <w:rPr>
          <w:rFonts w:hint="eastAsia"/>
          <w:snapToGrid w:val="0"/>
          <w:color w:val="auto"/>
          <w:szCs w:val="22"/>
          <w:highlight w:val="none"/>
        </w:rPr>
        <w:t>本工程降雨历时取</w:t>
      </w:r>
      <w:r>
        <w:rPr>
          <w:snapToGrid w:val="0"/>
          <w:color w:val="auto"/>
          <w:szCs w:val="22"/>
          <w:highlight w:val="none"/>
        </w:rPr>
        <w:t>10</w:t>
      </w:r>
      <w:r>
        <w:rPr>
          <w:rFonts w:hint="eastAsia"/>
          <w:snapToGrid w:val="0"/>
          <w:color w:val="auto"/>
          <w:szCs w:val="22"/>
          <w:highlight w:val="none"/>
        </w:rPr>
        <w:t>～</w:t>
      </w:r>
      <w:r>
        <w:rPr>
          <w:snapToGrid w:val="0"/>
          <w:color w:val="auto"/>
          <w:szCs w:val="22"/>
          <w:highlight w:val="none"/>
        </w:rPr>
        <w:t>15</w:t>
      </w:r>
      <w:r>
        <w:rPr>
          <w:rFonts w:hint="eastAsia"/>
          <w:snapToGrid w:val="0"/>
          <w:color w:val="auto"/>
          <w:szCs w:val="22"/>
          <w:highlight w:val="none"/>
        </w:rPr>
        <w:t>分钟。</w:t>
      </w:r>
    </w:p>
    <w:p w14:paraId="0C9FAE01">
      <w:pPr>
        <w:spacing w:line="360" w:lineRule="auto"/>
        <w:ind w:firstLine="480"/>
        <w:rPr>
          <w:snapToGrid w:val="0"/>
          <w:color w:val="auto"/>
          <w:szCs w:val="22"/>
          <w:highlight w:val="none"/>
        </w:rPr>
      </w:pPr>
      <w:r>
        <w:rPr>
          <w:rFonts w:hint="eastAsia"/>
          <w:snapToGrid w:val="0"/>
          <w:color w:val="auto"/>
          <w:szCs w:val="22"/>
          <w:highlight w:val="none"/>
        </w:rPr>
        <w:t>3）综合径流系数ψ</w:t>
      </w:r>
    </w:p>
    <w:p w14:paraId="6AA32AE6">
      <w:pPr>
        <w:spacing w:line="360" w:lineRule="auto"/>
        <w:ind w:firstLine="480"/>
        <w:rPr>
          <w:snapToGrid w:val="0"/>
          <w:color w:val="auto"/>
          <w:szCs w:val="22"/>
          <w:highlight w:val="none"/>
        </w:rPr>
      </w:pPr>
      <w:r>
        <w:rPr>
          <w:rFonts w:hint="eastAsia"/>
          <w:snapToGrid w:val="0"/>
          <w:color w:val="auto"/>
          <w:szCs w:val="22"/>
          <w:highlight w:val="none"/>
        </w:rPr>
        <w:t>综合径流系数，绿地取0.4，其它取0.8</w:t>
      </w:r>
    </w:p>
    <w:p w14:paraId="2A6FDDFE">
      <w:pPr>
        <w:spacing w:line="360" w:lineRule="auto"/>
        <w:ind w:firstLine="480"/>
        <w:rPr>
          <w:snapToGrid w:val="0"/>
          <w:color w:val="auto"/>
          <w:szCs w:val="22"/>
          <w:highlight w:val="none"/>
        </w:rPr>
      </w:pPr>
      <w:r>
        <w:rPr>
          <w:rFonts w:hint="eastAsia"/>
          <w:snapToGrid w:val="0"/>
          <w:color w:val="auto"/>
          <w:szCs w:val="22"/>
          <w:highlight w:val="none"/>
        </w:rPr>
        <w:t>4）设计管段的流速、充满度</w:t>
      </w:r>
    </w:p>
    <w:p w14:paraId="4D269B70">
      <w:pPr>
        <w:spacing w:line="360" w:lineRule="auto"/>
        <w:ind w:firstLine="480"/>
        <w:rPr>
          <w:snapToGrid w:val="0"/>
          <w:color w:val="auto"/>
          <w:szCs w:val="22"/>
          <w:highlight w:val="none"/>
        </w:rPr>
      </w:pPr>
      <w:r>
        <w:rPr>
          <w:rFonts w:hint="eastAsia"/>
          <w:snapToGrid w:val="0"/>
          <w:color w:val="auto"/>
          <w:szCs w:val="22"/>
          <w:highlight w:val="none"/>
        </w:rPr>
        <w:t>雨水管径的最小流速Vmin=0.75m/s，最大流速Vmax=5m/s；</w:t>
      </w:r>
    </w:p>
    <w:p w14:paraId="1DB4179B">
      <w:pPr>
        <w:spacing w:line="360" w:lineRule="auto"/>
        <w:ind w:firstLine="480"/>
        <w:rPr>
          <w:snapToGrid w:val="0"/>
          <w:color w:val="auto"/>
          <w:szCs w:val="22"/>
          <w:highlight w:val="none"/>
        </w:rPr>
      </w:pPr>
      <w:r>
        <w:rPr>
          <w:rFonts w:hint="eastAsia"/>
          <w:snapToGrid w:val="0"/>
          <w:color w:val="auto"/>
          <w:szCs w:val="22"/>
          <w:highlight w:val="none"/>
        </w:rPr>
        <w:t>雨水管按满流计算，即h/D=1。</w:t>
      </w:r>
    </w:p>
    <w:p w14:paraId="7E3D98E5">
      <w:pPr>
        <w:numPr>
          <w:ilvl w:val="0"/>
          <w:numId w:val="5"/>
        </w:numPr>
        <w:spacing w:line="360" w:lineRule="auto"/>
        <w:ind w:firstLine="480"/>
        <w:rPr>
          <w:rFonts w:hint="eastAsia"/>
          <w:snapToGrid w:val="0"/>
          <w:color w:val="auto"/>
          <w:szCs w:val="22"/>
          <w:highlight w:val="none"/>
        </w:rPr>
      </w:pPr>
      <w:r>
        <w:rPr>
          <w:rFonts w:hint="eastAsia"/>
          <w:snapToGrid w:val="0"/>
          <w:color w:val="auto"/>
          <w:szCs w:val="22"/>
          <w:highlight w:val="none"/>
        </w:rPr>
        <w:t>雨水管道一般采用管顶平接，特殊情况采用管中接。</w:t>
      </w:r>
    </w:p>
    <w:p w14:paraId="23B2571D">
      <w:pPr>
        <w:numPr>
          <w:ilvl w:val="0"/>
          <w:numId w:val="5"/>
        </w:numPr>
        <w:spacing w:line="360" w:lineRule="auto"/>
        <w:ind w:firstLine="480"/>
        <w:rPr>
          <w:snapToGrid w:val="0"/>
          <w:color w:val="auto"/>
          <w:szCs w:val="22"/>
          <w:highlight w:val="none"/>
        </w:rPr>
      </w:pPr>
      <w:r>
        <w:rPr>
          <w:rFonts w:hint="eastAsia"/>
          <w:snapToGrid w:val="0"/>
          <w:color w:val="auto"/>
          <w:szCs w:val="22"/>
          <w:highlight w:val="none"/>
        </w:rPr>
        <w:t>雨水径流量计算表</w:t>
      </w:r>
    </w:p>
    <w:tbl>
      <w:tblPr>
        <w:tblStyle w:val="17"/>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486"/>
        <w:gridCol w:w="1540"/>
        <w:gridCol w:w="856"/>
        <w:gridCol w:w="1040"/>
        <w:gridCol w:w="1069"/>
        <w:gridCol w:w="1292"/>
        <w:gridCol w:w="2140"/>
        <w:gridCol w:w="1260"/>
      </w:tblGrid>
      <w:tr w14:paraId="5CE8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1200" w:type="dxa"/>
            <w:gridSpan w:val="9"/>
            <w:shd w:val="clear" w:color="auto" w:fill="auto"/>
            <w:vAlign w:val="center"/>
          </w:tcPr>
          <w:p w14:paraId="223BAB92">
            <w:pPr>
              <w:widowControl/>
              <w:spacing w:line="240" w:lineRule="auto"/>
              <w:ind w:firstLine="0" w:firstLineChars="0"/>
              <w:jc w:val="center"/>
              <w:rPr>
                <w:rFonts w:ascii="黑体" w:hAnsi="黑体" w:eastAsia="黑体" w:cs="宋体"/>
                <w:color w:val="auto"/>
                <w:kern w:val="0"/>
                <w:highlight w:val="none"/>
              </w:rPr>
            </w:pPr>
            <w:r>
              <w:rPr>
                <w:rFonts w:hint="eastAsia" w:ascii="黑体" w:hAnsi="黑体" w:eastAsia="黑体" w:cs="宋体"/>
                <w:color w:val="auto"/>
                <w:kern w:val="0"/>
                <w:highlight w:val="none"/>
              </w:rPr>
              <w:t>雨水径流量计算表</w:t>
            </w:r>
          </w:p>
        </w:tc>
      </w:tr>
      <w:tr w14:paraId="58F9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120" w:type="dxa"/>
            <w:gridSpan w:val="2"/>
            <w:vMerge w:val="restart"/>
            <w:shd w:val="clear" w:color="auto" w:fill="auto"/>
            <w:vAlign w:val="center"/>
          </w:tcPr>
          <w:p w14:paraId="78D5D64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井编号</w:t>
            </w:r>
          </w:p>
        </w:tc>
        <w:tc>
          <w:tcPr>
            <w:tcW w:w="1540" w:type="dxa"/>
            <w:vMerge w:val="restart"/>
            <w:shd w:val="clear" w:color="auto" w:fill="auto"/>
            <w:vAlign w:val="center"/>
          </w:tcPr>
          <w:p w14:paraId="42CC230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管道长度</w:t>
            </w:r>
          </w:p>
        </w:tc>
        <w:tc>
          <w:tcPr>
            <w:tcW w:w="1040" w:type="dxa"/>
            <w:vMerge w:val="restart"/>
            <w:shd w:val="clear" w:color="auto" w:fill="auto"/>
            <w:vAlign w:val="center"/>
          </w:tcPr>
          <w:p w14:paraId="3EF63BF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汇水面积</w:t>
            </w:r>
          </w:p>
        </w:tc>
        <w:tc>
          <w:tcPr>
            <w:tcW w:w="1040" w:type="dxa"/>
            <w:vMerge w:val="restart"/>
            <w:shd w:val="clear" w:color="auto" w:fill="auto"/>
            <w:vAlign w:val="center"/>
          </w:tcPr>
          <w:p w14:paraId="42A359C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径流系数</w:t>
            </w:r>
          </w:p>
        </w:tc>
        <w:tc>
          <w:tcPr>
            <w:tcW w:w="1360" w:type="dxa"/>
            <w:vMerge w:val="restart"/>
            <w:shd w:val="clear" w:color="auto" w:fill="auto"/>
            <w:vAlign w:val="center"/>
          </w:tcPr>
          <w:p w14:paraId="426DA6ED">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暴雨历时（分钟）</w:t>
            </w:r>
          </w:p>
        </w:tc>
        <w:tc>
          <w:tcPr>
            <w:tcW w:w="1700" w:type="dxa"/>
            <w:shd w:val="clear" w:color="auto" w:fill="auto"/>
            <w:vAlign w:val="center"/>
          </w:tcPr>
          <w:p w14:paraId="44076B3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暴雨强度</w:t>
            </w:r>
          </w:p>
        </w:tc>
        <w:tc>
          <w:tcPr>
            <w:tcW w:w="2140" w:type="dxa"/>
            <w:shd w:val="clear" w:color="auto" w:fill="auto"/>
            <w:vAlign w:val="center"/>
          </w:tcPr>
          <w:p w14:paraId="1A21265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雨水径流量</w:t>
            </w:r>
          </w:p>
        </w:tc>
        <w:tc>
          <w:tcPr>
            <w:tcW w:w="1260" w:type="dxa"/>
            <w:shd w:val="clear" w:color="auto" w:fill="auto"/>
            <w:vAlign w:val="center"/>
          </w:tcPr>
          <w:p w14:paraId="1AF9B6F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设计管径</w:t>
            </w:r>
          </w:p>
        </w:tc>
      </w:tr>
      <w:tr w14:paraId="559C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120" w:type="dxa"/>
            <w:gridSpan w:val="2"/>
            <w:vMerge w:val="continue"/>
            <w:vAlign w:val="center"/>
          </w:tcPr>
          <w:p w14:paraId="56FD27D7">
            <w:pPr>
              <w:widowControl/>
              <w:spacing w:line="240" w:lineRule="auto"/>
              <w:ind w:firstLine="0" w:firstLineChars="0"/>
              <w:jc w:val="left"/>
              <w:rPr>
                <w:rFonts w:ascii="楷体_GB2312" w:hAnsi="宋体" w:eastAsia="楷体_GB2312" w:cs="宋体"/>
                <w:color w:val="auto"/>
                <w:kern w:val="0"/>
                <w:highlight w:val="none"/>
              </w:rPr>
            </w:pPr>
          </w:p>
        </w:tc>
        <w:tc>
          <w:tcPr>
            <w:tcW w:w="1540" w:type="dxa"/>
            <w:vMerge w:val="continue"/>
            <w:vAlign w:val="center"/>
          </w:tcPr>
          <w:p w14:paraId="01656F28">
            <w:pPr>
              <w:widowControl/>
              <w:spacing w:line="240" w:lineRule="auto"/>
              <w:ind w:firstLine="0" w:firstLineChars="0"/>
              <w:jc w:val="left"/>
              <w:rPr>
                <w:rFonts w:ascii="楷体_GB2312" w:hAnsi="宋体" w:eastAsia="楷体_GB2312" w:cs="宋体"/>
                <w:color w:val="auto"/>
                <w:kern w:val="0"/>
                <w:highlight w:val="none"/>
              </w:rPr>
            </w:pPr>
          </w:p>
        </w:tc>
        <w:tc>
          <w:tcPr>
            <w:tcW w:w="1040" w:type="dxa"/>
            <w:vMerge w:val="continue"/>
            <w:vAlign w:val="center"/>
          </w:tcPr>
          <w:p w14:paraId="49AF67EE">
            <w:pPr>
              <w:widowControl/>
              <w:spacing w:line="240" w:lineRule="auto"/>
              <w:ind w:firstLine="0" w:firstLineChars="0"/>
              <w:jc w:val="left"/>
              <w:rPr>
                <w:rFonts w:ascii="楷体_GB2312" w:hAnsi="宋体" w:eastAsia="楷体_GB2312" w:cs="宋体"/>
                <w:color w:val="auto"/>
                <w:kern w:val="0"/>
                <w:highlight w:val="none"/>
              </w:rPr>
            </w:pPr>
          </w:p>
        </w:tc>
        <w:tc>
          <w:tcPr>
            <w:tcW w:w="1040" w:type="dxa"/>
            <w:vMerge w:val="continue"/>
            <w:vAlign w:val="center"/>
          </w:tcPr>
          <w:p w14:paraId="3CEAB7CB">
            <w:pPr>
              <w:widowControl/>
              <w:spacing w:line="240" w:lineRule="auto"/>
              <w:ind w:firstLine="0" w:firstLineChars="0"/>
              <w:jc w:val="left"/>
              <w:rPr>
                <w:rFonts w:ascii="楷体_GB2312" w:hAnsi="宋体" w:eastAsia="楷体_GB2312" w:cs="宋体"/>
                <w:color w:val="auto"/>
                <w:kern w:val="0"/>
                <w:highlight w:val="none"/>
              </w:rPr>
            </w:pPr>
          </w:p>
        </w:tc>
        <w:tc>
          <w:tcPr>
            <w:tcW w:w="1360" w:type="dxa"/>
            <w:vMerge w:val="continue"/>
            <w:vAlign w:val="center"/>
          </w:tcPr>
          <w:p w14:paraId="77CFD203">
            <w:pPr>
              <w:widowControl/>
              <w:spacing w:line="240" w:lineRule="auto"/>
              <w:ind w:firstLine="0" w:firstLineChars="0"/>
              <w:jc w:val="left"/>
              <w:rPr>
                <w:rFonts w:ascii="楷体_GB2312" w:hAnsi="宋体" w:eastAsia="楷体_GB2312" w:cs="宋体"/>
                <w:color w:val="auto"/>
                <w:kern w:val="0"/>
                <w:highlight w:val="none"/>
              </w:rPr>
            </w:pPr>
          </w:p>
        </w:tc>
        <w:tc>
          <w:tcPr>
            <w:tcW w:w="1700" w:type="dxa"/>
            <w:shd w:val="clear" w:color="auto" w:fill="auto"/>
            <w:vAlign w:val="center"/>
          </w:tcPr>
          <w:p w14:paraId="791EDA0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q</w:t>
            </w:r>
          </w:p>
        </w:tc>
        <w:tc>
          <w:tcPr>
            <w:tcW w:w="2140" w:type="dxa"/>
            <w:shd w:val="clear" w:color="auto" w:fill="auto"/>
            <w:vAlign w:val="center"/>
          </w:tcPr>
          <w:p w14:paraId="71AB9F8D">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Q</w:t>
            </w:r>
          </w:p>
        </w:tc>
        <w:tc>
          <w:tcPr>
            <w:tcW w:w="1260" w:type="dxa"/>
            <w:shd w:val="clear" w:color="auto" w:fill="auto"/>
            <w:vAlign w:val="center"/>
          </w:tcPr>
          <w:p w14:paraId="7170FBC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D</w:t>
            </w:r>
          </w:p>
        </w:tc>
      </w:tr>
      <w:tr w14:paraId="7C13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120" w:type="dxa"/>
            <w:gridSpan w:val="2"/>
            <w:shd w:val="clear" w:color="auto" w:fill="auto"/>
            <w:vAlign w:val="center"/>
          </w:tcPr>
          <w:p w14:paraId="128E4CA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起－止</w:t>
            </w:r>
          </w:p>
        </w:tc>
        <w:tc>
          <w:tcPr>
            <w:tcW w:w="1540" w:type="dxa"/>
            <w:shd w:val="clear" w:color="auto" w:fill="auto"/>
            <w:noWrap/>
            <w:vAlign w:val="center"/>
          </w:tcPr>
          <w:p w14:paraId="0FD2BF7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m</w:t>
            </w:r>
          </w:p>
        </w:tc>
        <w:tc>
          <w:tcPr>
            <w:tcW w:w="1040" w:type="dxa"/>
            <w:shd w:val="clear" w:color="auto" w:fill="auto"/>
            <w:vAlign w:val="center"/>
          </w:tcPr>
          <w:p w14:paraId="4D5EA71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ha</w:t>
            </w:r>
          </w:p>
        </w:tc>
        <w:tc>
          <w:tcPr>
            <w:tcW w:w="1040" w:type="dxa"/>
            <w:shd w:val="clear" w:color="auto" w:fill="auto"/>
            <w:noWrap/>
            <w:vAlign w:val="center"/>
          </w:tcPr>
          <w:p w14:paraId="14780D8C">
            <w:pPr>
              <w:widowControl/>
              <w:spacing w:line="240" w:lineRule="auto"/>
              <w:ind w:firstLine="0" w:firstLineChars="0"/>
              <w:jc w:val="center"/>
              <w:rPr>
                <w:rFonts w:hint="eastAsia"/>
                <w:color w:val="auto"/>
                <w:kern w:val="0"/>
                <w:highlight w:val="none"/>
              </w:rPr>
            </w:pPr>
            <w:r>
              <w:rPr>
                <w:color w:val="auto"/>
                <w:kern w:val="0"/>
                <w:highlight w:val="none"/>
              </w:rPr>
              <w:t>ψ</w:t>
            </w:r>
          </w:p>
        </w:tc>
        <w:tc>
          <w:tcPr>
            <w:tcW w:w="1360" w:type="dxa"/>
            <w:shd w:val="clear" w:color="auto" w:fill="auto"/>
            <w:vAlign w:val="center"/>
          </w:tcPr>
          <w:p w14:paraId="74566229">
            <w:pPr>
              <w:widowControl/>
              <w:spacing w:line="240" w:lineRule="auto"/>
              <w:ind w:firstLine="0" w:firstLineChars="0"/>
              <w:jc w:val="center"/>
              <w:rPr>
                <w:rFonts w:ascii="楷体_GB2312" w:hAnsi="宋体" w:eastAsia="楷体_GB2312" w:cs="宋体"/>
                <w:color w:val="auto"/>
                <w:kern w:val="0"/>
                <w:highlight w:val="none"/>
              </w:rPr>
            </w:pPr>
            <w:r>
              <w:rPr>
                <w:rFonts w:hint="eastAsia" w:ascii="楷体_GB2312" w:hAnsi="宋体" w:eastAsia="楷体_GB2312" w:cs="宋体"/>
                <w:color w:val="auto"/>
                <w:kern w:val="0"/>
                <w:highlight w:val="none"/>
              </w:rPr>
              <w:t>时  间</w:t>
            </w:r>
          </w:p>
        </w:tc>
        <w:tc>
          <w:tcPr>
            <w:tcW w:w="1700" w:type="dxa"/>
            <w:shd w:val="clear" w:color="auto" w:fill="auto"/>
            <w:vAlign w:val="center"/>
          </w:tcPr>
          <w:p w14:paraId="6CDA325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L/s/ha</w:t>
            </w:r>
          </w:p>
        </w:tc>
        <w:tc>
          <w:tcPr>
            <w:tcW w:w="2140" w:type="dxa"/>
            <w:shd w:val="clear" w:color="auto" w:fill="auto"/>
            <w:noWrap/>
            <w:vAlign w:val="center"/>
          </w:tcPr>
          <w:p w14:paraId="5DD1190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L/s</w:t>
            </w:r>
          </w:p>
        </w:tc>
        <w:tc>
          <w:tcPr>
            <w:tcW w:w="1260" w:type="dxa"/>
            <w:shd w:val="clear" w:color="auto" w:fill="auto"/>
            <w:noWrap/>
            <w:vAlign w:val="center"/>
          </w:tcPr>
          <w:p w14:paraId="3825A02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mm</w:t>
            </w:r>
          </w:p>
        </w:tc>
      </w:tr>
      <w:tr w14:paraId="16FD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4E6274A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w:t>
            </w:r>
          </w:p>
        </w:tc>
        <w:tc>
          <w:tcPr>
            <w:tcW w:w="520" w:type="dxa"/>
            <w:shd w:val="clear" w:color="000000" w:fill="FFFFFF"/>
            <w:vAlign w:val="center"/>
          </w:tcPr>
          <w:p w14:paraId="3793D35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w:t>
            </w:r>
          </w:p>
        </w:tc>
        <w:tc>
          <w:tcPr>
            <w:tcW w:w="1540" w:type="dxa"/>
            <w:shd w:val="clear" w:color="000000" w:fill="FFFFFF"/>
            <w:vAlign w:val="center"/>
          </w:tcPr>
          <w:p w14:paraId="22D339B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000000" w:fill="FFFFFF"/>
            <w:vAlign w:val="center"/>
          </w:tcPr>
          <w:p w14:paraId="5C452F6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0.15</w:t>
            </w:r>
          </w:p>
        </w:tc>
        <w:tc>
          <w:tcPr>
            <w:tcW w:w="1040" w:type="dxa"/>
            <w:shd w:val="clear" w:color="000000" w:fill="FFFFFF"/>
            <w:vAlign w:val="center"/>
          </w:tcPr>
          <w:p w14:paraId="5225920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76252E0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10.00 </w:t>
            </w:r>
          </w:p>
        </w:tc>
        <w:tc>
          <w:tcPr>
            <w:tcW w:w="1700" w:type="dxa"/>
            <w:shd w:val="clear" w:color="000000" w:fill="FFFFFF"/>
            <w:vAlign w:val="center"/>
          </w:tcPr>
          <w:p w14:paraId="558E673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547.14 </w:t>
            </w:r>
          </w:p>
        </w:tc>
        <w:tc>
          <w:tcPr>
            <w:tcW w:w="2140" w:type="dxa"/>
            <w:shd w:val="clear" w:color="000000" w:fill="FFFFFF"/>
            <w:vAlign w:val="center"/>
          </w:tcPr>
          <w:p w14:paraId="1416A3F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38.492 </w:t>
            </w:r>
          </w:p>
        </w:tc>
        <w:tc>
          <w:tcPr>
            <w:tcW w:w="1260" w:type="dxa"/>
            <w:shd w:val="clear" w:color="000000" w:fill="FFFFFF"/>
            <w:vAlign w:val="center"/>
          </w:tcPr>
          <w:p w14:paraId="770E7B0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1521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110B755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w:t>
            </w:r>
          </w:p>
        </w:tc>
        <w:tc>
          <w:tcPr>
            <w:tcW w:w="520" w:type="dxa"/>
            <w:shd w:val="clear" w:color="000000" w:fill="FFFFFF"/>
            <w:vAlign w:val="center"/>
          </w:tcPr>
          <w:p w14:paraId="4E4A849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w:t>
            </w:r>
          </w:p>
        </w:tc>
        <w:tc>
          <w:tcPr>
            <w:tcW w:w="1540" w:type="dxa"/>
            <w:shd w:val="clear" w:color="000000" w:fill="FFFFFF"/>
            <w:vAlign w:val="center"/>
          </w:tcPr>
          <w:p w14:paraId="7676418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000000" w:fill="FFFFFF"/>
            <w:vAlign w:val="center"/>
          </w:tcPr>
          <w:p w14:paraId="620DA63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0.32 </w:t>
            </w:r>
          </w:p>
        </w:tc>
        <w:tc>
          <w:tcPr>
            <w:tcW w:w="1040" w:type="dxa"/>
            <w:shd w:val="clear" w:color="000000" w:fill="FFFFFF"/>
            <w:vAlign w:val="center"/>
          </w:tcPr>
          <w:p w14:paraId="39BEF3F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21E434B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10.13 </w:t>
            </w:r>
          </w:p>
        </w:tc>
        <w:tc>
          <w:tcPr>
            <w:tcW w:w="1700" w:type="dxa"/>
            <w:shd w:val="clear" w:color="000000" w:fill="FFFFFF"/>
            <w:vAlign w:val="center"/>
          </w:tcPr>
          <w:p w14:paraId="6DAB608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544.73 </w:t>
            </w:r>
          </w:p>
        </w:tc>
        <w:tc>
          <w:tcPr>
            <w:tcW w:w="2140" w:type="dxa"/>
            <w:shd w:val="clear" w:color="000000" w:fill="FFFFFF"/>
            <w:vAlign w:val="center"/>
          </w:tcPr>
          <w:p w14:paraId="0F9E782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84.205 </w:t>
            </w:r>
          </w:p>
        </w:tc>
        <w:tc>
          <w:tcPr>
            <w:tcW w:w="1260" w:type="dxa"/>
            <w:shd w:val="clear" w:color="000000" w:fill="FFFFFF"/>
            <w:vAlign w:val="center"/>
          </w:tcPr>
          <w:p w14:paraId="49E2FEC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199E7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4EAA31E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w:t>
            </w:r>
          </w:p>
        </w:tc>
        <w:tc>
          <w:tcPr>
            <w:tcW w:w="520" w:type="dxa"/>
            <w:shd w:val="clear" w:color="000000" w:fill="FFFFFF"/>
            <w:vAlign w:val="center"/>
          </w:tcPr>
          <w:p w14:paraId="7630597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4</w:t>
            </w:r>
          </w:p>
        </w:tc>
        <w:tc>
          <w:tcPr>
            <w:tcW w:w="1540" w:type="dxa"/>
            <w:shd w:val="clear" w:color="000000" w:fill="FFFFFF"/>
            <w:vAlign w:val="center"/>
          </w:tcPr>
          <w:p w14:paraId="3AE244C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000000" w:fill="FFFFFF"/>
            <w:vAlign w:val="center"/>
          </w:tcPr>
          <w:p w14:paraId="7833D9D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0.56 </w:t>
            </w:r>
          </w:p>
        </w:tc>
        <w:tc>
          <w:tcPr>
            <w:tcW w:w="1040" w:type="dxa"/>
            <w:shd w:val="clear" w:color="000000" w:fill="FFFFFF"/>
            <w:vAlign w:val="center"/>
          </w:tcPr>
          <w:p w14:paraId="10CC9CD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25D7A6B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10.27 </w:t>
            </w:r>
          </w:p>
        </w:tc>
        <w:tc>
          <w:tcPr>
            <w:tcW w:w="1700" w:type="dxa"/>
            <w:shd w:val="clear" w:color="000000" w:fill="FFFFFF"/>
            <w:vAlign w:val="center"/>
          </w:tcPr>
          <w:p w14:paraId="4324200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542.35 </w:t>
            </w:r>
          </w:p>
        </w:tc>
        <w:tc>
          <w:tcPr>
            <w:tcW w:w="2140" w:type="dxa"/>
            <w:shd w:val="clear" w:color="000000" w:fill="FFFFFF"/>
            <w:vAlign w:val="center"/>
          </w:tcPr>
          <w:p w14:paraId="3F087EFD">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145.625 </w:t>
            </w:r>
          </w:p>
        </w:tc>
        <w:tc>
          <w:tcPr>
            <w:tcW w:w="1260" w:type="dxa"/>
            <w:shd w:val="clear" w:color="000000" w:fill="FFFFFF"/>
            <w:vAlign w:val="center"/>
          </w:tcPr>
          <w:p w14:paraId="0206073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0CB7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185730F4">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4</w:t>
            </w:r>
          </w:p>
        </w:tc>
        <w:tc>
          <w:tcPr>
            <w:tcW w:w="520" w:type="dxa"/>
            <w:shd w:val="clear" w:color="000000" w:fill="FFFFFF"/>
            <w:vAlign w:val="center"/>
          </w:tcPr>
          <w:p w14:paraId="0ACDF49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5</w:t>
            </w:r>
          </w:p>
        </w:tc>
        <w:tc>
          <w:tcPr>
            <w:tcW w:w="1540" w:type="dxa"/>
            <w:shd w:val="clear" w:color="000000" w:fill="FFFFFF"/>
            <w:vAlign w:val="center"/>
          </w:tcPr>
          <w:p w14:paraId="67DFFFF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000000" w:fill="FFFFFF"/>
            <w:vAlign w:val="center"/>
          </w:tcPr>
          <w:p w14:paraId="523A88F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0.87 </w:t>
            </w:r>
          </w:p>
        </w:tc>
        <w:tc>
          <w:tcPr>
            <w:tcW w:w="1040" w:type="dxa"/>
            <w:shd w:val="clear" w:color="000000" w:fill="FFFFFF"/>
            <w:vAlign w:val="center"/>
          </w:tcPr>
          <w:p w14:paraId="32B1955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11E0BAC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10.40 </w:t>
            </w:r>
          </w:p>
        </w:tc>
        <w:tc>
          <w:tcPr>
            <w:tcW w:w="1700" w:type="dxa"/>
            <w:shd w:val="clear" w:color="000000" w:fill="FFFFFF"/>
            <w:vAlign w:val="center"/>
          </w:tcPr>
          <w:p w14:paraId="502FDDB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539.99 </w:t>
            </w:r>
          </w:p>
        </w:tc>
        <w:tc>
          <w:tcPr>
            <w:tcW w:w="2140" w:type="dxa"/>
            <w:shd w:val="clear" w:color="000000" w:fill="FFFFFF"/>
            <w:vAlign w:val="center"/>
          </w:tcPr>
          <w:p w14:paraId="45D33FC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225.288 </w:t>
            </w:r>
          </w:p>
        </w:tc>
        <w:tc>
          <w:tcPr>
            <w:tcW w:w="1260" w:type="dxa"/>
            <w:shd w:val="clear" w:color="000000" w:fill="FFFFFF"/>
            <w:vAlign w:val="center"/>
          </w:tcPr>
          <w:p w14:paraId="16006A9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1D550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5B98503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5</w:t>
            </w:r>
          </w:p>
        </w:tc>
        <w:tc>
          <w:tcPr>
            <w:tcW w:w="520" w:type="dxa"/>
            <w:shd w:val="clear" w:color="000000" w:fill="FFFFFF"/>
            <w:vAlign w:val="center"/>
          </w:tcPr>
          <w:p w14:paraId="1496EC9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6</w:t>
            </w:r>
          </w:p>
        </w:tc>
        <w:tc>
          <w:tcPr>
            <w:tcW w:w="1540" w:type="dxa"/>
            <w:shd w:val="clear" w:color="000000" w:fill="FFFFFF"/>
            <w:vAlign w:val="center"/>
          </w:tcPr>
          <w:p w14:paraId="1AD6EE5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20</w:t>
            </w:r>
          </w:p>
        </w:tc>
        <w:tc>
          <w:tcPr>
            <w:tcW w:w="1040" w:type="dxa"/>
            <w:shd w:val="clear" w:color="000000" w:fill="FFFFFF"/>
            <w:vAlign w:val="center"/>
          </w:tcPr>
          <w:p w14:paraId="560869A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1.20 </w:t>
            </w:r>
          </w:p>
        </w:tc>
        <w:tc>
          <w:tcPr>
            <w:tcW w:w="1040" w:type="dxa"/>
            <w:shd w:val="clear" w:color="000000" w:fill="FFFFFF"/>
            <w:vAlign w:val="center"/>
          </w:tcPr>
          <w:p w14:paraId="34E1E29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64651A7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10.54 </w:t>
            </w:r>
          </w:p>
        </w:tc>
        <w:tc>
          <w:tcPr>
            <w:tcW w:w="1700" w:type="dxa"/>
            <w:shd w:val="clear" w:color="000000" w:fill="FFFFFF"/>
            <w:vAlign w:val="center"/>
          </w:tcPr>
          <w:p w14:paraId="317EBD2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537.66 </w:t>
            </w:r>
          </w:p>
        </w:tc>
        <w:tc>
          <w:tcPr>
            <w:tcW w:w="2140" w:type="dxa"/>
            <w:shd w:val="clear" w:color="000000" w:fill="FFFFFF"/>
            <w:vAlign w:val="center"/>
          </w:tcPr>
          <w:p w14:paraId="75E4BCA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310.482 </w:t>
            </w:r>
          </w:p>
        </w:tc>
        <w:tc>
          <w:tcPr>
            <w:tcW w:w="1260" w:type="dxa"/>
            <w:shd w:val="clear" w:color="000000" w:fill="FFFFFF"/>
            <w:vAlign w:val="center"/>
          </w:tcPr>
          <w:p w14:paraId="2D38A7D4">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2116F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561EADD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6</w:t>
            </w:r>
          </w:p>
        </w:tc>
        <w:tc>
          <w:tcPr>
            <w:tcW w:w="520" w:type="dxa"/>
            <w:shd w:val="clear" w:color="000000" w:fill="FFFFFF"/>
            <w:vAlign w:val="center"/>
          </w:tcPr>
          <w:p w14:paraId="50AD3CB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7</w:t>
            </w:r>
          </w:p>
        </w:tc>
        <w:tc>
          <w:tcPr>
            <w:tcW w:w="1540" w:type="dxa"/>
            <w:shd w:val="clear" w:color="000000" w:fill="FFFFFF"/>
            <w:vAlign w:val="center"/>
          </w:tcPr>
          <w:p w14:paraId="44C4F43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37</w:t>
            </w:r>
          </w:p>
        </w:tc>
        <w:tc>
          <w:tcPr>
            <w:tcW w:w="1040" w:type="dxa"/>
            <w:shd w:val="clear" w:color="000000" w:fill="FFFFFF"/>
            <w:vAlign w:val="center"/>
          </w:tcPr>
          <w:p w14:paraId="153C2D5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1.65 </w:t>
            </w:r>
          </w:p>
        </w:tc>
        <w:tc>
          <w:tcPr>
            <w:tcW w:w="1040" w:type="dxa"/>
            <w:shd w:val="clear" w:color="000000" w:fill="FFFFFF"/>
            <w:vAlign w:val="center"/>
          </w:tcPr>
          <w:p w14:paraId="19577AED">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7F2C173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10.63 </w:t>
            </w:r>
          </w:p>
        </w:tc>
        <w:tc>
          <w:tcPr>
            <w:tcW w:w="1700" w:type="dxa"/>
            <w:shd w:val="clear" w:color="000000" w:fill="FFFFFF"/>
            <w:vAlign w:val="center"/>
          </w:tcPr>
          <w:p w14:paraId="673E5C2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536.12 </w:t>
            </w:r>
          </w:p>
        </w:tc>
        <w:tc>
          <w:tcPr>
            <w:tcW w:w="2140" w:type="dxa"/>
            <w:shd w:val="clear" w:color="000000" w:fill="FFFFFF"/>
            <w:vAlign w:val="center"/>
          </w:tcPr>
          <w:p w14:paraId="5857D3E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423.438 </w:t>
            </w:r>
          </w:p>
        </w:tc>
        <w:tc>
          <w:tcPr>
            <w:tcW w:w="1260" w:type="dxa"/>
            <w:shd w:val="clear" w:color="000000" w:fill="FFFFFF"/>
            <w:vAlign w:val="center"/>
          </w:tcPr>
          <w:p w14:paraId="36AB89D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503C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5A5E8B2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7</w:t>
            </w:r>
          </w:p>
        </w:tc>
        <w:tc>
          <w:tcPr>
            <w:tcW w:w="520" w:type="dxa"/>
            <w:shd w:val="clear" w:color="000000" w:fill="FFFFFF"/>
            <w:vAlign w:val="center"/>
          </w:tcPr>
          <w:p w14:paraId="6D4029F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w:t>
            </w:r>
          </w:p>
        </w:tc>
        <w:tc>
          <w:tcPr>
            <w:tcW w:w="1540" w:type="dxa"/>
            <w:shd w:val="clear" w:color="000000" w:fill="FFFFFF"/>
            <w:vAlign w:val="center"/>
          </w:tcPr>
          <w:p w14:paraId="76F75B7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33</w:t>
            </w:r>
          </w:p>
        </w:tc>
        <w:tc>
          <w:tcPr>
            <w:tcW w:w="1040" w:type="dxa"/>
            <w:shd w:val="clear" w:color="000000" w:fill="FFFFFF"/>
            <w:vAlign w:val="center"/>
          </w:tcPr>
          <w:p w14:paraId="5C450D3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2.00 </w:t>
            </w:r>
          </w:p>
        </w:tc>
        <w:tc>
          <w:tcPr>
            <w:tcW w:w="1040" w:type="dxa"/>
            <w:shd w:val="clear" w:color="000000" w:fill="FFFFFF"/>
            <w:vAlign w:val="center"/>
          </w:tcPr>
          <w:p w14:paraId="00B9DAE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55A555D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10.79 </w:t>
            </w:r>
          </w:p>
        </w:tc>
        <w:tc>
          <w:tcPr>
            <w:tcW w:w="1700" w:type="dxa"/>
            <w:shd w:val="clear" w:color="000000" w:fill="FFFFFF"/>
            <w:vAlign w:val="center"/>
          </w:tcPr>
          <w:p w14:paraId="703A824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533.29 </w:t>
            </w:r>
          </w:p>
        </w:tc>
        <w:tc>
          <w:tcPr>
            <w:tcW w:w="2140" w:type="dxa"/>
            <w:shd w:val="clear" w:color="000000" w:fill="FFFFFF"/>
            <w:vAlign w:val="center"/>
          </w:tcPr>
          <w:p w14:paraId="0190EDF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512.963 </w:t>
            </w:r>
          </w:p>
        </w:tc>
        <w:tc>
          <w:tcPr>
            <w:tcW w:w="1260" w:type="dxa"/>
            <w:shd w:val="clear" w:color="000000" w:fill="FFFFFF"/>
            <w:vAlign w:val="center"/>
          </w:tcPr>
          <w:p w14:paraId="689E0774">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2882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402ACAF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w:t>
            </w:r>
          </w:p>
        </w:tc>
        <w:tc>
          <w:tcPr>
            <w:tcW w:w="520" w:type="dxa"/>
            <w:shd w:val="clear" w:color="000000" w:fill="FFFFFF"/>
            <w:vAlign w:val="center"/>
          </w:tcPr>
          <w:p w14:paraId="231F53AE">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9</w:t>
            </w:r>
          </w:p>
        </w:tc>
        <w:tc>
          <w:tcPr>
            <w:tcW w:w="1540" w:type="dxa"/>
            <w:shd w:val="clear" w:color="000000" w:fill="FFFFFF"/>
            <w:vAlign w:val="center"/>
          </w:tcPr>
          <w:p w14:paraId="444D92A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18</w:t>
            </w:r>
          </w:p>
        </w:tc>
        <w:tc>
          <w:tcPr>
            <w:tcW w:w="1040" w:type="dxa"/>
            <w:shd w:val="clear" w:color="000000" w:fill="FFFFFF"/>
            <w:vAlign w:val="center"/>
          </w:tcPr>
          <w:p w14:paraId="02C4690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2.25 </w:t>
            </w:r>
          </w:p>
        </w:tc>
        <w:tc>
          <w:tcPr>
            <w:tcW w:w="1040" w:type="dxa"/>
            <w:shd w:val="clear" w:color="000000" w:fill="FFFFFF"/>
            <w:vAlign w:val="center"/>
          </w:tcPr>
          <w:p w14:paraId="707F8BB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2F11CF5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10.94 </w:t>
            </w:r>
          </w:p>
        </w:tc>
        <w:tc>
          <w:tcPr>
            <w:tcW w:w="1700" w:type="dxa"/>
            <w:shd w:val="clear" w:color="000000" w:fill="FFFFFF"/>
            <w:vAlign w:val="center"/>
          </w:tcPr>
          <w:p w14:paraId="5623444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530.80 </w:t>
            </w:r>
          </w:p>
        </w:tc>
        <w:tc>
          <w:tcPr>
            <w:tcW w:w="2140" w:type="dxa"/>
            <w:shd w:val="clear" w:color="000000" w:fill="FFFFFF"/>
            <w:vAlign w:val="center"/>
          </w:tcPr>
          <w:p w14:paraId="63BB9B1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574.133 </w:t>
            </w:r>
          </w:p>
        </w:tc>
        <w:tc>
          <w:tcPr>
            <w:tcW w:w="1260" w:type="dxa"/>
            <w:shd w:val="clear" w:color="000000" w:fill="FFFFFF"/>
            <w:vAlign w:val="center"/>
          </w:tcPr>
          <w:p w14:paraId="55657C4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5649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07A87E6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9</w:t>
            </w:r>
          </w:p>
        </w:tc>
        <w:tc>
          <w:tcPr>
            <w:tcW w:w="520" w:type="dxa"/>
            <w:shd w:val="clear" w:color="000000" w:fill="FFFFFF"/>
            <w:vAlign w:val="center"/>
          </w:tcPr>
          <w:p w14:paraId="6CA7C7C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10</w:t>
            </w:r>
          </w:p>
        </w:tc>
        <w:tc>
          <w:tcPr>
            <w:tcW w:w="1540" w:type="dxa"/>
            <w:shd w:val="clear" w:color="000000" w:fill="FFFFFF"/>
            <w:vAlign w:val="center"/>
          </w:tcPr>
          <w:p w14:paraId="30B2E5F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27</w:t>
            </w:r>
          </w:p>
        </w:tc>
        <w:tc>
          <w:tcPr>
            <w:tcW w:w="1040" w:type="dxa"/>
            <w:shd w:val="clear" w:color="000000" w:fill="FFFFFF"/>
            <w:vAlign w:val="center"/>
          </w:tcPr>
          <w:p w14:paraId="60CA059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2.41 </w:t>
            </w:r>
          </w:p>
        </w:tc>
        <w:tc>
          <w:tcPr>
            <w:tcW w:w="1040" w:type="dxa"/>
            <w:shd w:val="clear" w:color="000000" w:fill="FFFFFF"/>
            <w:vAlign w:val="center"/>
          </w:tcPr>
          <w:p w14:paraId="5F995D4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2E89423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11.02 </w:t>
            </w:r>
          </w:p>
        </w:tc>
        <w:tc>
          <w:tcPr>
            <w:tcW w:w="1700" w:type="dxa"/>
            <w:shd w:val="clear" w:color="000000" w:fill="FFFFFF"/>
            <w:vAlign w:val="center"/>
          </w:tcPr>
          <w:p w14:paraId="4B1C425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529.46 </w:t>
            </w:r>
          </w:p>
        </w:tc>
        <w:tc>
          <w:tcPr>
            <w:tcW w:w="2140" w:type="dxa"/>
            <w:shd w:val="clear" w:color="000000" w:fill="FFFFFF"/>
            <w:vAlign w:val="center"/>
          </w:tcPr>
          <w:p w14:paraId="4835C1A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611.495 </w:t>
            </w:r>
          </w:p>
        </w:tc>
        <w:tc>
          <w:tcPr>
            <w:tcW w:w="1260" w:type="dxa"/>
            <w:shd w:val="clear" w:color="000000" w:fill="FFFFFF"/>
            <w:vAlign w:val="center"/>
          </w:tcPr>
          <w:p w14:paraId="5FFD677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6160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7B36850D">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10</w:t>
            </w:r>
          </w:p>
        </w:tc>
        <w:tc>
          <w:tcPr>
            <w:tcW w:w="520" w:type="dxa"/>
            <w:shd w:val="clear" w:color="000000" w:fill="FFFFFF"/>
            <w:vAlign w:val="center"/>
          </w:tcPr>
          <w:p w14:paraId="157EA95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11</w:t>
            </w:r>
          </w:p>
        </w:tc>
        <w:tc>
          <w:tcPr>
            <w:tcW w:w="1540" w:type="dxa"/>
            <w:shd w:val="clear" w:color="000000" w:fill="FFFFFF"/>
            <w:vAlign w:val="center"/>
          </w:tcPr>
          <w:p w14:paraId="73E42AC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26</w:t>
            </w:r>
          </w:p>
        </w:tc>
        <w:tc>
          <w:tcPr>
            <w:tcW w:w="1040" w:type="dxa"/>
            <w:shd w:val="clear" w:color="000000" w:fill="FFFFFF"/>
            <w:vAlign w:val="center"/>
          </w:tcPr>
          <w:p w14:paraId="0F16B3E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2.47 </w:t>
            </w:r>
          </w:p>
        </w:tc>
        <w:tc>
          <w:tcPr>
            <w:tcW w:w="1040" w:type="dxa"/>
            <w:shd w:val="clear" w:color="000000" w:fill="FFFFFF"/>
            <w:vAlign w:val="center"/>
          </w:tcPr>
          <w:p w14:paraId="48057EA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000000" w:fill="FFFFFF"/>
            <w:vAlign w:val="center"/>
          </w:tcPr>
          <w:p w14:paraId="3B5F5D8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11.14 </w:t>
            </w:r>
          </w:p>
        </w:tc>
        <w:tc>
          <w:tcPr>
            <w:tcW w:w="1700" w:type="dxa"/>
            <w:shd w:val="clear" w:color="000000" w:fill="FFFFFF"/>
            <w:vAlign w:val="center"/>
          </w:tcPr>
          <w:p w14:paraId="3BF0F48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527.45 </w:t>
            </w:r>
          </w:p>
        </w:tc>
        <w:tc>
          <w:tcPr>
            <w:tcW w:w="2140" w:type="dxa"/>
            <w:shd w:val="clear" w:color="000000" w:fill="FFFFFF"/>
            <w:vAlign w:val="center"/>
          </w:tcPr>
          <w:p w14:paraId="4FAA7FAE">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626.187 </w:t>
            </w:r>
          </w:p>
        </w:tc>
        <w:tc>
          <w:tcPr>
            <w:tcW w:w="1260" w:type="dxa"/>
            <w:shd w:val="clear" w:color="000000" w:fill="FFFFFF"/>
            <w:vAlign w:val="center"/>
          </w:tcPr>
          <w:p w14:paraId="1A14600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5C4EA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5661E22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12</w:t>
            </w:r>
          </w:p>
        </w:tc>
        <w:tc>
          <w:tcPr>
            <w:tcW w:w="520" w:type="dxa"/>
            <w:shd w:val="clear" w:color="auto" w:fill="auto"/>
            <w:vAlign w:val="center"/>
          </w:tcPr>
          <w:p w14:paraId="444F59C4">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13</w:t>
            </w:r>
          </w:p>
        </w:tc>
        <w:tc>
          <w:tcPr>
            <w:tcW w:w="1540" w:type="dxa"/>
            <w:shd w:val="clear" w:color="auto" w:fill="auto"/>
            <w:vAlign w:val="center"/>
          </w:tcPr>
          <w:p w14:paraId="2FB3552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26</w:t>
            </w:r>
          </w:p>
        </w:tc>
        <w:tc>
          <w:tcPr>
            <w:tcW w:w="1040" w:type="dxa"/>
            <w:shd w:val="clear" w:color="auto" w:fill="auto"/>
            <w:vAlign w:val="center"/>
          </w:tcPr>
          <w:p w14:paraId="69FC805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0.16</w:t>
            </w:r>
          </w:p>
        </w:tc>
        <w:tc>
          <w:tcPr>
            <w:tcW w:w="1040" w:type="dxa"/>
            <w:shd w:val="clear" w:color="000000" w:fill="FFFFFF"/>
            <w:vAlign w:val="center"/>
          </w:tcPr>
          <w:p w14:paraId="18FC380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4BDFF9A4">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10.00 </w:t>
            </w:r>
          </w:p>
        </w:tc>
        <w:tc>
          <w:tcPr>
            <w:tcW w:w="1700" w:type="dxa"/>
            <w:shd w:val="clear" w:color="auto" w:fill="auto"/>
            <w:vAlign w:val="center"/>
          </w:tcPr>
          <w:p w14:paraId="4D4F025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547.14 </w:t>
            </w:r>
          </w:p>
        </w:tc>
        <w:tc>
          <w:tcPr>
            <w:tcW w:w="2140" w:type="dxa"/>
            <w:shd w:val="clear" w:color="auto" w:fill="auto"/>
            <w:vAlign w:val="center"/>
          </w:tcPr>
          <w:p w14:paraId="60FE34D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43.323 </w:t>
            </w:r>
          </w:p>
        </w:tc>
        <w:tc>
          <w:tcPr>
            <w:tcW w:w="1260" w:type="dxa"/>
            <w:shd w:val="clear" w:color="auto" w:fill="auto"/>
            <w:vAlign w:val="center"/>
          </w:tcPr>
          <w:p w14:paraId="66428FD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1F50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61A4A39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13</w:t>
            </w:r>
          </w:p>
        </w:tc>
        <w:tc>
          <w:tcPr>
            <w:tcW w:w="520" w:type="dxa"/>
            <w:shd w:val="clear" w:color="auto" w:fill="auto"/>
            <w:vAlign w:val="center"/>
          </w:tcPr>
          <w:p w14:paraId="5272C8E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14</w:t>
            </w:r>
          </w:p>
        </w:tc>
        <w:tc>
          <w:tcPr>
            <w:tcW w:w="1540" w:type="dxa"/>
            <w:shd w:val="clear" w:color="auto" w:fill="auto"/>
            <w:vAlign w:val="center"/>
          </w:tcPr>
          <w:p w14:paraId="2719EC7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auto" w:fill="auto"/>
            <w:vAlign w:val="center"/>
          </w:tcPr>
          <w:p w14:paraId="64EB260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0.54 </w:t>
            </w:r>
          </w:p>
        </w:tc>
        <w:tc>
          <w:tcPr>
            <w:tcW w:w="1040" w:type="dxa"/>
            <w:shd w:val="clear" w:color="000000" w:fill="FFFFFF"/>
            <w:vAlign w:val="center"/>
          </w:tcPr>
          <w:p w14:paraId="77C7CD84">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2C725894">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10.12 </w:t>
            </w:r>
          </w:p>
        </w:tc>
        <w:tc>
          <w:tcPr>
            <w:tcW w:w="1700" w:type="dxa"/>
            <w:shd w:val="clear" w:color="auto" w:fill="auto"/>
            <w:vAlign w:val="center"/>
          </w:tcPr>
          <w:p w14:paraId="699C4A3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545.05 </w:t>
            </w:r>
          </w:p>
        </w:tc>
        <w:tc>
          <w:tcPr>
            <w:tcW w:w="2140" w:type="dxa"/>
            <w:shd w:val="clear" w:color="auto" w:fill="auto"/>
            <w:vAlign w:val="center"/>
          </w:tcPr>
          <w:p w14:paraId="0F75125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140.034 </w:t>
            </w:r>
          </w:p>
        </w:tc>
        <w:tc>
          <w:tcPr>
            <w:tcW w:w="1260" w:type="dxa"/>
            <w:shd w:val="clear" w:color="auto" w:fill="auto"/>
            <w:vAlign w:val="center"/>
          </w:tcPr>
          <w:p w14:paraId="2344E79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19FC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56152B4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14</w:t>
            </w:r>
          </w:p>
        </w:tc>
        <w:tc>
          <w:tcPr>
            <w:tcW w:w="520" w:type="dxa"/>
            <w:shd w:val="clear" w:color="auto" w:fill="auto"/>
            <w:vAlign w:val="center"/>
          </w:tcPr>
          <w:p w14:paraId="29C0ED3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15</w:t>
            </w:r>
          </w:p>
        </w:tc>
        <w:tc>
          <w:tcPr>
            <w:tcW w:w="1540" w:type="dxa"/>
            <w:shd w:val="clear" w:color="auto" w:fill="auto"/>
            <w:vAlign w:val="center"/>
          </w:tcPr>
          <w:p w14:paraId="18C0327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auto" w:fill="auto"/>
            <w:vAlign w:val="center"/>
          </w:tcPr>
          <w:p w14:paraId="6A72AFF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1.03 </w:t>
            </w:r>
          </w:p>
        </w:tc>
        <w:tc>
          <w:tcPr>
            <w:tcW w:w="1040" w:type="dxa"/>
            <w:shd w:val="clear" w:color="000000" w:fill="FFFFFF"/>
            <w:vAlign w:val="center"/>
          </w:tcPr>
          <w:p w14:paraId="661B86B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55CCF6F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10.25 </w:t>
            </w:r>
          </w:p>
        </w:tc>
        <w:tc>
          <w:tcPr>
            <w:tcW w:w="1700" w:type="dxa"/>
            <w:shd w:val="clear" w:color="auto" w:fill="auto"/>
            <w:vAlign w:val="center"/>
          </w:tcPr>
          <w:p w14:paraId="31D8CAB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542.67 </w:t>
            </w:r>
          </w:p>
        </w:tc>
        <w:tc>
          <w:tcPr>
            <w:tcW w:w="2140" w:type="dxa"/>
            <w:shd w:val="clear" w:color="auto" w:fill="auto"/>
            <w:vAlign w:val="center"/>
          </w:tcPr>
          <w:p w14:paraId="1A811F2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268.551 </w:t>
            </w:r>
          </w:p>
        </w:tc>
        <w:tc>
          <w:tcPr>
            <w:tcW w:w="1260" w:type="dxa"/>
            <w:shd w:val="clear" w:color="auto" w:fill="auto"/>
            <w:vAlign w:val="center"/>
          </w:tcPr>
          <w:p w14:paraId="51D2FE3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1792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6322D17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15</w:t>
            </w:r>
          </w:p>
        </w:tc>
        <w:tc>
          <w:tcPr>
            <w:tcW w:w="520" w:type="dxa"/>
            <w:shd w:val="clear" w:color="auto" w:fill="auto"/>
            <w:vAlign w:val="center"/>
          </w:tcPr>
          <w:p w14:paraId="63C9119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16</w:t>
            </w:r>
          </w:p>
        </w:tc>
        <w:tc>
          <w:tcPr>
            <w:tcW w:w="1540" w:type="dxa"/>
            <w:shd w:val="clear" w:color="auto" w:fill="auto"/>
            <w:vAlign w:val="center"/>
          </w:tcPr>
          <w:p w14:paraId="65B98FE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auto" w:fill="auto"/>
            <w:vAlign w:val="center"/>
          </w:tcPr>
          <w:p w14:paraId="24BA949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1.53 </w:t>
            </w:r>
          </w:p>
        </w:tc>
        <w:tc>
          <w:tcPr>
            <w:tcW w:w="1040" w:type="dxa"/>
            <w:shd w:val="clear" w:color="000000" w:fill="FFFFFF"/>
            <w:vAlign w:val="center"/>
          </w:tcPr>
          <w:p w14:paraId="506FD66E">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3D0F7D1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10.39 </w:t>
            </w:r>
          </w:p>
        </w:tc>
        <w:tc>
          <w:tcPr>
            <w:tcW w:w="1700" w:type="dxa"/>
            <w:shd w:val="clear" w:color="auto" w:fill="auto"/>
            <w:vAlign w:val="center"/>
          </w:tcPr>
          <w:p w14:paraId="0E925EC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540.31 </w:t>
            </w:r>
          </w:p>
        </w:tc>
        <w:tc>
          <w:tcPr>
            <w:tcW w:w="2140" w:type="dxa"/>
            <w:shd w:val="clear" w:color="auto" w:fill="auto"/>
            <w:vAlign w:val="center"/>
          </w:tcPr>
          <w:p w14:paraId="0B3BF9E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395.849 </w:t>
            </w:r>
          </w:p>
        </w:tc>
        <w:tc>
          <w:tcPr>
            <w:tcW w:w="1260" w:type="dxa"/>
            <w:shd w:val="clear" w:color="auto" w:fill="auto"/>
            <w:vAlign w:val="center"/>
          </w:tcPr>
          <w:p w14:paraId="612E3A3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260A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2BEFDA2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16</w:t>
            </w:r>
          </w:p>
        </w:tc>
        <w:tc>
          <w:tcPr>
            <w:tcW w:w="520" w:type="dxa"/>
            <w:shd w:val="clear" w:color="auto" w:fill="auto"/>
            <w:vAlign w:val="center"/>
          </w:tcPr>
          <w:p w14:paraId="1EB095B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17</w:t>
            </w:r>
          </w:p>
        </w:tc>
        <w:tc>
          <w:tcPr>
            <w:tcW w:w="1540" w:type="dxa"/>
            <w:shd w:val="clear" w:color="auto" w:fill="auto"/>
            <w:vAlign w:val="center"/>
          </w:tcPr>
          <w:p w14:paraId="65CFC00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auto" w:fill="auto"/>
            <w:vAlign w:val="center"/>
          </w:tcPr>
          <w:p w14:paraId="0B0A68E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1.92 </w:t>
            </w:r>
          </w:p>
        </w:tc>
        <w:tc>
          <w:tcPr>
            <w:tcW w:w="1040" w:type="dxa"/>
            <w:shd w:val="clear" w:color="000000" w:fill="FFFFFF"/>
            <w:vAlign w:val="center"/>
          </w:tcPr>
          <w:p w14:paraId="0BFD1BDD">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6BFE777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10.52 </w:t>
            </w:r>
          </w:p>
        </w:tc>
        <w:tc>
          <w:tcPr>
            <w:tcW w:w="1700" w:type="dxa"/>
            <w:shd w:val="clear" w:color="auto" w:fill="auto"/>
            <w:vAlign w:val="center"/>
          </w:tcPr>
          <w:p w14:paraId="7F68560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537.97 </w:t>
            </w:r>
          </w:p>
        </w:tc>
        <w:tc>
          <w:tcPr>
            <w:tcW w:w="2140" w:type="dxa"/>
            <w:shd w:val="clear" w:color="auto" w:fill="auto"/>
            <w:vAlign w:val="center"/>
          </w:tcPr>
          <w:p w14:paraId="28AF062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496.285 </w:t>
            </w:r>
          </w:p>
        </w:tc>
        <w:tc>
          <w:tcPr>
            <w:tcW w:w="1260" w:type="dxa"/>
            <w:shd w:val="clear" w:color="auto" w:fill="auto"/>
            <w:vAlign w:val="center"/>
          </w:tcPr>
          <w:p w14:paraId="4216B50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60D65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4A3BEF1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17</w:t>
            </w:r>
          </w:p>
        </w:tc>
        <w:tc>
          <w:tcPr>
            <w:tcW w:w="520" w:type="dxa"/>
            <w:shd w:val="clear" w:color="auto" w:fill="auto"/>
            <w:vAlign w:val="center"/>
          </w:tcPr>
          <w:p w14:paraId="4EC400A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18</w:t>
            </w:r>
          </w:p>
        </w:tc>
        <w:tc>
          <w:tcPr>
            <w:tcW w:w="1540" w:type="dxa"/>
            <w:shd w:val="clear" w:color="auto" w:fill="auto"/>
            <w:vAlign w:val="center"/>
          </w:tcPr>
          <w:p w14:paraId="5FA0371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26</w:t>
            </w:r>
          </w:p>
        </w:tc>
        <w:tc>
          <w:tcPr>
            <w:tcW w:w="1040" w:type="dxa"/>
            <w:shd w:val="clear" w:color="auto" w:fill="auto"/>
            <w:vAlign w:val="center"/>
          </w:tcPr>
          <w:p w14:paraId="0B3769C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2.27 </w:t>
            </w:r>
          </w:p>
        </w:tc>
        <w:tc>
          <w:tcPr>
            <w:tcW w:w="1040" w:type="dxa"/>
            <w:shd w:val="clear" w:color="000000" w:fill="FFFFFF"/>
            <w:vAlign w:val="center"/>
          </w:tcPr>
          <w:p w14:paraId="65ADE2BD">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32E3562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10.65 </w:t>
            </w:r>
          </w:p>
        </w:tc>
        <w:tc>
          <w:tcPr>
            <w:tcW w:w="1700" w:type="dxa"/>
            <w:shd w:val="clear" w:color="auto" w:fill="auto"/>
            <w:vAlign w:val="center"/>
          </w:tcPr>
          <w:p w14:paraId="45E893C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535.66 </w:t>
            </w:r>
          </w:p>
        </w:tc>
        <w:tc>
          <w:tcPr>
            <w:tcW w:w="2140" w:type="dxa"/>
            <w:shd w:val="clear" w:color="auto" w:fill="auto"/>
            <w:vAlign w:val="center"/>
          </w:tcPr>
          <w:p w14:paraId="1206C97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583.041 </w:t>
            </w:r>
          </w:p>
        </w:tc>
        <w:tc>
          <w:tcPr>
            <w:tcW w:w="1260" w:type="dxa"/>
            <w:shd w:val="clear" w:color="auto" w:fill="auto"/>
            <w:vAlign w:val="center"/>
          </w:tcPr>
          <w:p w14:paraId="40F63C2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5846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3968225E">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18</w:t>
            </w:r>
          </w:p>
        </w:tc>
        <w:tc>
          <w:tcPr>
            <w:tcW w:w="520" w:type="dxa"/>
            <w:shd w:val="clear" w:color="auto" w:fill="auto"/>
            <w:vAlign w:val="center"/>
          </w:tcPr>
          <w:p w14:paraId="65D3848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19</w:t>
            </w:r>
          </w:p>
        </w:tc>
        <w:tc>
          <w:tcPr>
            <w:tcW w:w="1540" w:type="dxa"/>
            <w:shd w:val="clear" w:color="auto" w:fill="auto"/>
            <w:vAlign w:val="center"/>
          </w:tcPr>
          <w:p w14:paraId="3BC29307">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27</w:t>
            </w:r>
          </w:p>
        </w:tc>
        <w:tc>
          <w:tcPr>
            <w:tcW w:w="1040" w:type="dxa"/>
            <w:shd w:val="clear" w:color="auto" w:fill="auto"/>
            <w:vAlign w:val="center"/>
          </w:tcPr>
          <w:p w14:paraId="7DF0DBD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2.51 </w:t>
            </w:r>
          </w:p>
        </w:tc>
        <w:tc>
          <w:tcPr>
            <w:tcW w:w="1040" w:type="dxa"/>
            <w:shd w:val="clear" w:color="000000" w:fill="FFFFFF"/>
            <w:vAlign w:val="center"/>
          </w:tcPr>
          <w:p w14:paraId="6A68AE2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16CE8B5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10.77 </w:t>
            </w:r>
          </w:p>
        </w:tc>
        <w:tc>
          <w:tcPr>
            <w:tcW w:w="1700" w:type="dxa"/>
            <w:shd w:val="clear" w:color="auto" w:fill="auto"/>
            <w:vAlign w:val="center"/>
          </w:tcPr>
          <w:p w14:paraId="6B94FA5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533.67 </w:t>
            </w:r>
          </w:p>
        </w:tc>
        <w:tc>
          <w:tcPr>
            <w:tcW w:w="2140" w:type="dxa"/>
            <w:shd w:val="clear" w:color="auto" w:fill="auto"/>
            <w:vAlign w:val="center"/>
          </w:tcPr>
          <w:p w14:paraId="2CA85F5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642.942 </w:t>
            </w:r>
          </w:p>
        </w:tc>
        <w:tc>
          <w:tcPr>
            <w:tcW w:w="1260" w:type="dxa"/>
            <w:shd w:val="clear" w:color="auto" w:fill="auto"/>
            <w:vAlign w:val="center"/>
          </w:tcPr>
          <w:p w14:paraId="6BFDD92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03CE3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66856A0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19</w:t>
            </w:r>
          </w:p>
        </w:tc>
        <w:tc>
          <w:tcPr>
            <w:tcW w:w="520" w:type="dxa"/>
            <w:shd w:val="clear" w:color="auto" w:fill="auto"/>
            <w:vAlign w:val="center"/>
          </w:tcPr>
          <w:p w14:paraId="3652F10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20</w:t>
            </w:r>
          </w:p>
        </w:tc>
        <w:tc>
          <w:tcPr>
            <w:tcW w:w="1540" w:type="dxa"/>
            <w:shd w:val="clear" w:color="auto" w:fill="auto"/>
            <w:vAlign w:val="center"/>
          </w:tcPr>
          <w:p w14:paraId="45311E6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33</w:t>
            </w:r>
          </w:p>
        </w:tc>
        <w:tc>
          <w:tcPr>
            <w:tcW w:w="1040" w:type="dxa"/>
            <w:shd w:val="clear" w:color="auto" w:fill="auto"/>
            <w:vAlign w:val="center"/>
          </w:tcPr>
          <w:p w14:paraId="364EF26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2.74 </w:t>
            </w:r>
          </w:p>
        </w:tc>
        <w:tc>
          <w:tcPr>
            <w:tcW w:w="1040" w:type="dxa"/>
            <w:shd w:val="clear" w:color="000000" w:fill="FFFFFF"/>
            <w:vAlign w:val="center"/>
          </w:tcPr>
          <w:p w14:paraId="312B33D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77C29FA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10.89 </w:t>
            </w:r>
          </w:p>
        </w:tc>
        <w:tc>
          <w:tcPr>
            <w:tcW w:w="1700" w:type="dxa"/>
            <w:shd w:val="clear" w:color="auto" w:fill="auto"/>
            <w:vAlign w:val="center"/>
          </w:tcPr>
          <w:p w14:paraId="37BC24F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531.63 </w:t>
            </w:r>
          </w:p>
        </w:tc>
        <w:tc>
          <w:tcPr>
            <w:tcW w:w="2140" w:type="dxa"/>
            <w:shd w:val="clear" w:color="auto" w:fill="auto"/>
            <w:vAlign w:val="center"/>
          </w:tcPr>
          <w:p w14:paraId="4232BA8D">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699.379 </w:t>
            </w:r>
          </w:p>
        </w:tc>
        <w:tc>
          <w:tcPr>
            <w:tcW w:w="1260" w:type="dxa"/>
            <w:shd w:val="clear" w:color="auto" w:fill="auto"/>
            <w:vAlign w:val="center"/>
          </w:tcPr>
          <w:p w14:paraId="5B3C4E66">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6511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0371C69E">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20</w:t>
            </w:r>
          </w:p>
        </w:tc>
        <w:tc>
          <w:tcPr>
            <w:tcW w:w="520" w:type="dxa"/>
            <w:shd w:val="clear" w:color="auto" w:fill="auto"/>
            <w:vAlign w:val="center"/>
          </w:tcPr>
          <w:p w14:paraId="74DF213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21</w:t>
            </w:r>
          </w:p>
        </w:tc>
        <w:tc>
          <w:tcPr>
            <w:tcW w:w="1540" w:type="dxa"/>
            <w:shd w:val="clear" w:color="auto" w:fill="auto"/>
            <w:vAlign w:val="center"/>
          </w:tcPr>
          <w:p w14:paraId="6FD4F96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30</w:t>
            </w:r>
          </w:p>
        </w:tc>
        <w:tc>
          <w:tcPr>
            <w:tcW w:w="1040" w:type="dxa"/>
            <w:shd w:val="clear" w:color="auto" w:fill="auto"/>
            <w:vAlign w:val="center"/>
          </w:tcPr>
          <w:p w14:paraId="175F9D3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2.87 </w:t>
            </w:r>
          </w:p>
        </w:tc>
        <w:tc>
          <w:tcPr>
            <w:tcW w:w="1040" w:type="dxa"/>
            <w:shd w:val="clear" w:color="000000" w:fill="FFFFFF"/>
            <w:vAlign w:val="center"/>
          </w:tcPr>
          <w:p w14:paraId="3FCFE86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204E2E4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11.04 </w:t>
            </w:r>
          </w:p>
        </w:tc>
        <w:tc>
          <w:tcPr>
            <w:tcW w:w="1700" w:type="dxa"/>
            <w:shd w:val="clear" w:color="auto" w:fill="auto"/>
            <w:vAlign w:val="center"/>
          </w:tcPr>
          <w:p w14:paraId="168E5C1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529.16 </w:t>
            </w:r>
          </w:p>
        </w:tc>
        <w:tc>
          <w:tcPr>
            <w:tcW w:w="2140" w:type="dxa"/>
            <w:shd w:val="clear" w:color="auto" w:fill="auto"/>
            <w:vAlign w:val="center"/>
          </w:tcPr>
          <w:p w14:paraId="2090F1A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728.302 </w:t>
            </w:r>
          </w:p>
        </w:tc>
        <w:tc>
          <w:tcPr>
            <w:tcW w:w="1260" w:type="dxa"/>
            <w:shd w:val="clear" w:color="auto" w:fill="auto"/>
            <w:vAlign w:val="center"/>
          </w:tcPr>
          <w:p w14:paraId="6E8F113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75F71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auto" w:fill="auto"/>
            <w:vAlign w:val="center"/>
          </w:tcPr>
          <w:p w14:paraId="2430E9DF">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21</w:t>
            </w:r>
          </w:p>
        </w:tc>
        <w:tc>
          <w:tcPr>
            <w:tcW w:w="520" w:type="dxa"/>
            <w:shd w:val="clear" w:color="auto" w:fill="auto"/>
            <w:vAlign w:val="center"/>
          </w:tcPr>
          <w:p w14:paraId="32F4801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22</w:t>
            </w:r>
          </w:p>
        </w:tc>
        <w:tc>
          <w:tcPr>
            <w:tcW w:w="1540" w:type="dxa"/>
            <w:shd w:val="clear" w:color="auto" w:fill="auto"/>
            <w:vAlign w:val="center"/>
          </w:tcPr>
          <w:p w14:paraId="5ADA481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26</w:t>
            </w:r>
          </w:p>
        </w:tc>
        <w:tc>
          <w:tcPr>
            <w:tcW w:w="1040" w:type="dxa"/>
            <w:shd w:val="clear" w:color="auto" w:fill="auto"/>
            <w:vAlign w:val="center"/>
          </w:tcPr>
          <w:p w14:paraId="270BCAFA">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2.93 </w:t>
            </w:r>
          </w:p>
        </w:tc>
        <w:tc>
          <w:tcPr>
            <w:tcW w:w="1040" w:type="dxa"/>
            <w:shd w:val="clear" w:color="000000" w:fill="FFFFFF"/>
            <w:vAlign w:val="center"/>
          </w:tcPr>
          <w:p w14:paraId="6EA7384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34156282">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11.17 </w:t>
            </w:r>
          </w:p>
        </w:tc>
        <w:tc>
          <w:tcPr>
            <w:tcW w:w="1700" w:type="dxa"/>
            <w:shd w:val="clear" w:color="auto" w:fill="auto"/>
            <w:vAlign w:val="center"/>
          </w:tcPr>
          <w:p w14:paraId="7D8D46DE">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526.94 </w:t>
            </w:r>
          </w:p>
        </w:tc>
        <w:tc>
          <w:tcPr>
            <w:tcW w:w="2140" w:type="dxa"/>
            <w:shd w:val="clear" w:color="auto" w:fill="auto"/>
            <w:vAlign w:val="center"/>
          </w:tcPr>
          <w:p w14:paraId="3DE8E48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740.983 </w:t>
            </w:r>
          </w:p>
        </w:tc>
        <w:tc>
          <w:tcPr>
            <w:tcW w:w="1260" w:type="dxa"/>
            <w:shd w:val="clear" w:color="auto" w:fill="auto"/>
            <w:vAlign w:val="center"/>
          </w:tcPr>
          <w:p w14:paraId="170230A4">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r w14:paraId="218B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0" w:type="dxa"/>
            <w:shd w:val="clear" w:color="000000" w:fill="FFFFFF"/>
            <w:vAlign w:val="center"/>
          </w:tcPr>
          <w:p w14:paraId="177F6E6B">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22</w:t>
            </w:r>
          </w:p>
        </w:tc>
        <w:tc>
          <w:tcPr>
            <w:tcW w:w="520" w:type="dxa"/>
            <w:shd w:val="clear" w:color="000000" w:fill="FFFFFF"/>
            <w:vAlign w:val="center"/>
          </w:tcPr>
          <w:p w14:paraId="6A737B18">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23</w:t>
            </w:r>
          </w:p>
        </w:tc>
        <w:tc>
          <w:tcPr>
            <w:tcW w:w="1540" w:type="dxa"/>
            <w:shd w:val="clear" w:color="000000" w:fill="FFFFFF"/>
            <w:vAlign w:val="center"/>
          </w:tcPr>
          <w:p w14:paraId="279F6619">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11</w:t>
            </w:r>
          </w:p>
        </w:tc>
        <w:tc>
          <w:tcPr>
            <w:tcW w:w="1040" w:type="dxa"/>
            <w:shd w:val="clear" w:color="000000" w:fill="FFFFFF"/>
            <w:vAlign w:val="center"/>
          </w:tcPr>
          <w:p w14:paraId="1A92302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5.42 </w:t>
            </w:r>
          </w:p>
        </w:tc>
        <w:tc>
          <w:tcPr>
            <w:tcW w:w="1040" w:type="dxa"/>
            <w:shd w:val="clear" w:color="000000" w:fill="FFFFFF"/>
            <w:vAlign w:val="center"/>
          </w:tcPr>
          <w:p w14:paraId="5C48706C">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0.48</w:t>
            </w:r>
          </w:p>
        </w:tc>
        <w:tc>
          <w:tcPr>
            <w:tcW w:w="1360" w:type="dxa"/>
            <w:shd w:val="clear" w:color="auto" w:fill="auto"/>
            <w:vAlign w:val="center"/>
          </w:tcPr>
          <w:p w14:paraId="51A7D8E3">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11.29 </w:t>
            </w:r>
          </w:p>
        </w:tc>
        <w:tc>
          <w:tcPr>
            <w:tcW w:w="1700" w:type="dxa"/>
            <w:shd w:val="clear" w:color="000000" w:fill="FFFFFF"/>
            <w:vAlign w:val="center"/>
          </w:tcPr>
          <w:p w14:paraId="335B7031">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525.03 </w:t>
            </w:r>
          </w:p>
        </w:tc>
        <w:tc>
          <w:tcPr>
            <w:tcW w:w="2140" w:type="dxa"/>
            <w:shd w:val="clear" w:color="000000" w:fill="FFFFFF"/>
            <w:vAlign w:val="center"/>
          </w:tcPr>
          <w:p w14:paraId="1C2275D0">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 xml:space="preserve">1365.029 </w:t>
            </w:r>
          </w:p>
        </w:tc>
        <w:tc>
          <w:tcPr>
            <w:tcW w:w="1260" w:type="dxa"/>
            <w:shd w:val="clear" w:color="000000" w:fill="FFFFFF"/>
            <w:vAlign w:val="center"/>
          </w:tcPr>
          <w:p w14:paraId="7D32C445">
            <w:pPr>
              <w:widowControl/>
              <w:spacing w:line="240" w:lineRule="auto"/>
              <w:ind w:firstLine="0" w:firstLineChars="0"/>
              <w:jc w:val="center"/>
              <w:rPr>
                <w:rFonts w:hint="eastAsia" w:ascii="楷体_GB2312" w:hAnsi="宋体" w:eastAsia="楷体_GB2312" w:cs="宋体"/>
                <w:color w:val="auto"/>
                <w:kern w:val="0"/>
                <w:highlight w:val="none"/>
              </w:rPr>
            </w:pPr>
            <w:r>
              <w:rPr>
                <w:rFonts w:hint="eastAsia" w:ascii="楷体_GB2312" w:hAnsi="宋体" w:eastAsia="楷体_GB2312" w:cs="宋体"/>
                <w:color w:val="auto"/>
                <w:kern w:val="0"/>
                <w:highlight w:val="none"/>
              </w:rPr>
              <w:t>800</w:t>
            </w:r>
          </w:p>
        </w:tc>
      </w:tr>
    </w:tbl>
    <w:p w14:paraId="6014F158">
      <w:pPr>
        <w:rPr>
          <w:color w:val="auto"/>
          <w:highlight w:val="none"/>
        </w:rPr>
      </w:pPr>
    </w:p>
    <w:p w14:paraId="00C92D02">
      <w:pPr>
        <w:rPr>
          <w:color w:val="auto"/>
          <w:highlight w:val="none"/>
        </w:rPr>
      </w:pPr>
    </w:p>
    <w:p w14:paraId="2C1251C1">
      <w:pPr>
        <w:numPr>
          <w:ilvl w:val="0"/>
          <w:numId w:val="0"/>
        </w:numPr>
        <w:rPr>
          <w:rFonts w:hint="eastAsia"/>
          <w:snapToGrid w:val="0"/>
          <w:highlight w:val="none"/>
          <w:lang w:val="en-US" w:eastAsia="zh-CN"/>
        </w:rPr>
      </w:pPr>
      <w:r>
        <w:rPr>
          <w:rFonts w:hint="eastAsia"/>
          <w:snapToGrid w:val="0"/>
          <w:highlight w:val="none"/>
          <w:lang w:val="en-US" w:eastAsia="zh-CN"/>
        </w:rPr>
        <w:t>7）雨水口及溢流口核算</w:t>
      </w:r>
    </w:p>
    <w:p w14:paraId="0FF91A8A">
      <w:pPr>
        <w:numPr>
          <w:ilvl w:val="0"/>
          <w:numId w:val="0"/>
        </w:numPr>
        <w:ind w:firstLine="480" w:firstLineChars="200"/>
        <w:rPr>
          <w:highlight w:val="none"/>
        </w:rPr>
      </w:pPr>
      <w:r>
        <w:rPr>
          <w:rFonts w:hint="eastAsia" w:ascii="宋体" w:hAnsi="宋体"/>
          <w:color w:val="auto"/>
          <w:sz w:val="24"/>
          <w:szCs w:val="24"/>
          <w:highlight w:val="none"/>
          <w:lang w:eastAsia="zh-CN"/>
        </w:rPr>
        <w:t>永安东路一期、二期用地红线面积共</w:t>
      </w:r>
      <w:r>
        <w:rPr>
          <w:rFonts w:hint="eastAsia" w:ascii="宋体" w:hAnsi="宋体" w:cs="宋体"/>
          <w:color w:val="auto"/>
          <w:sz w:val="24"/>
          <w:szCs w:val="24"/>
          <w:highlight w:val="none"/>
          <w:lang w:val="en-US" w:eastAsia="zh-CN"/>
        </w:rPr>
        <w:t>17557.32</w:t>
      </w:r>
      <w:r>
        <w:rPr>
          <w:rFonts w:hint="eastAsia" w:ascii="宋体" w:hAnsi="宋体"/>
          <w:color w:val="auto"/>
          <w:sz w:val="24"/>
          <w:szCs w:val="24"/>
          <w:highlight w:val="none"/>
          <w:lang w:eastAsia="zh-CN"/>
        </w:rPr>
        <w:t>平方米</w:t>
      </w:r>
      <w:r>
        <w:rPr>
          <w:rFonts w:hint="eastAsia"/>
          <w:snapToGrid w:val="0"/>
          <w:highlight w:val="none"/>
          <w:lang w:val="en-US" w:eastAsia="zh-CN"/>
        </w:rPr>
        <w:t>。</w:t>
      </w:r>
    </w:p>
    <w:p w14:paraId="2539CABD">
      <w:pPr>
        <w:keepNext w:val="0"/>
        <w:keepLines w:val="0"/>
        <w:widowControl/>
        <w:suppressLineNumbers w:val="0"/>
        <w:spacing w:before="0" w:beforeAutospacing="0" w:after="0" w:afterAutospacing="0"/>
        <w:ind w:left="0" w:right="0"/>
        <w:jc w:val="both"/>
        <w:rPr>
          <w:rFonts w:hint="eastAsia" w:ascii="宋体" w:hAnsi="宋体" w:cs="宋体"/>
          <w:color w:val="000000" w:themeColor="text1"/>
          <w:sz w:val="24"/>
          <w:szCs w:val="24"/>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按上述</w:t>
      </w:r>
      <w:r>
        <w:rPr>
          <w:rFonts w:hint="eastAsia"/>
          <w:color w:val="000000" w:themeColor="text1"/>
          <w:highlight w:val="none"/>
          <w:lang w:val="en-US" w:eastAsia="zh-CN"/>
          <w14:textFill>
            <w14:solidFill>
              <w14:schemeClr w14:val="tx1"/>
            </w14:solidFill>
          </w14:textFill>
        </w:rPr>
        <w:t>P=5</w:t>
      </w:r>
      <w:r>
        <w:rPr>
          <w:rFonts w:hint="eastAsia"/>
          <w:color w:val="000000" w:themeColor="text1"/>
          <w:highlight w:val="none"/>
          <w:lang w:eastAsia="zh-CN"/>
          <w14:textFill>
            <w14:solidFill>
              <w14:schemeClr w14:val="tx1"/>
            </w14:solidFill>
          </w14:textFill>
        </w:rPr>
        <w:t>暴雨强度公式</w:t>
      </w:r>
      <w:r>
        <w:rPr>
          <w:rFonts w:hint="eastAsia" w:ascii="宋体" w:hAnsi="宋体" w:cs="宋体"/>
          <w:color w:val="000000" w:themeColor="text1"/>
          <w:sz w:val="24"/>
          <w:szCs w:val="24"/>
          <w:highlight w:val="none"/>
          <w:lang w:eastAsia="zh-CN"/>
          <w14:textFill>
            <w14:solidFill>
              <w14:schemeClr w14:val="tx1"/>
            </w14:solidFill>
          </w14:textFill>
        </w:rPr>
        <w:t>，取</w:t>
      </w:r>
      <w:r>
        <w:rPr>
          <w:rFonts w:hint="eastAsia" w:ascii="宋体" w:hAnsi="宋体" w:cs="宋体"/>
          <w:color w:val="000000" w:themeColor="text1"/>
          <w:sz w:val="24"/>
          <w:szCs w:val="24"/>
          <w:highlight w:val="none"/>
          <w:lang w:val="en-US" w:eastAsia="zh-CN"/>
          <w14:textFill>
            <w14:solidFill>
              <w14:schemeClr w14:val="tx1"/>
            </w14:solidFill>
          </w14:textFill>
        </w:rPr>
        <w:t>降雨历时</w:t>
      </w:r>
      <w:r>
        <w:rPr>
          <w:rFonts w:hint="eastAsia" w:ascii="宋体" w:hAnsi="宋体" w:cs="宋体"/>
          <w:color w:val="000000" w:themeColor="text1"/>
          <w:sz w:val="24"/>
          <w:szCs w:val="24"/>
          <w:highlight w:val="yellow"/>
          <w:lang w:val="en-US" w:eastAsia="zh-CN"/>
          <w14:textFill>
            <w14:solidFill>
              <w14:schemeClr w14:val="tx1"/>
            </w14:solidFill>
          </w14:textFill>
        </w:rPr>
        <w:t>10</w:t>
      </w:r>
      <w:r>
        <w:rPr>
          <w:rFonts w:hint="eastAsia" w:ascii="宋体" w:hAnsi="宋体" w:cs="宋体"/>
          <w:color w:val="000000" w:themeColor="text1"/>
          <w:sz w:val="24"/>
          <w:szCs w:val="24"/>
          <w:highlight w:val="none"/>
          <w:lang w:val="en-US" w:eastAsia="zh-CN"/>
          <w14:textFill>
            <w14:solidFill>
              <w14:schemeClr w14:val="tx1"/>
            </w14:solidFill>
          </w14:textFill>
        </w:rPr>
        <w:t>min</w:t>
      </w:r>
      <w:r>
        <w:rPr>
          <w:rFonts w:hint="eastAsia" w:ascii="宋体" w:hAnsi="宋体" w:cs="宋体"/>
          <w:color w:val="000000" w:themeColor="text1"/>
          <w:sz w:val="24"/>
          <w:szCs w:val="24"/>
          <w:highlight w:val="none"/>
          <w:lang w:val="en-US" w:eastAsia="zh-CN"/>
          <w14:textFill>
            <w14:solidFill>
              <w14:schemeClr w14:val="tx1"/>
            </w14:solidFill>
          </w14:textFill>
        </w:rPr>
        <w:t>，则</w:t>
      </w:r>
      <w:r>
        <w:rPr>
          <w:rFonts w:hint="eastAsia"/>
          <w:color w:val="000000" w:themeColor="text1"/>
          <w:highlight w:val="none"/>
          <w:lang w:eastAsia="zh-CN"/>
          <w14:textFill>
            <w14:solidFill>
              <w14:schemeClr w14:val="tx1"/>
            </w14:solidFill>
          </w14:textFill>
        </w:rPr>
        <w:t>暴雨强度</w:t>
      </w:r>
      <w:r>
        <w:rPr>
          <w:rFonts w:hint="eastAsia" w:ascii="宋体" w:hAnsi="宋体" w:cs="宋体"/>
          <w:color w:val="000000" w:themeColor="text1"/>
          <w:sz w:val="24"/>
          <w:szCs w:val="24"/>
          <w:highlight w:val="none"/>
          <w:lang w:eastAsia="zh-CN"/>
          <w14:textFill>
            <w14:solidFill>
              <w14:schemeClr w14:val="tx1"/>
            </w14:solidFill>
          </w14:textFill>
        </w:rPr>
        <w:t>计算结果为</w:t>
      </w:r>
      <w:r>
        <w:rPr>
          <w:rFonts w:hint="eastAsia" w:ascii="宋体" w:hAnsi="宋体" w:cs="宋体"/>
          <w:color w:val="000000" w:themeColor="text1"/>
          <w:sz w:val="24"/>
          <w:szCs w:val="24"/>
          <w:highlight w:val="yellow"/>
          <w:lang w:val="en-US" w:eastAsia="zh-CN"/>
          <w14:textFill>
            <w14:solidFill>
              <w14:schemeClr w14:val="tx1"/>
            </w14:solidFill>
          </w14:textFill>
        </w:rPr>
        <w:t>430.21</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L/（s·hm</w:t>
      </w:r>
      <w:r>
        <w:rPr>
          <w:rFonts w:hint="eastAsia" w:ascii="宋体" w:hAnsi="宋体" w:cs="宋体"/>
          <w:color w:val="000000" w:themeColor="text1"/>
          <w:sz w:val="24"/>
          <w:szCs w:val="24"/>
          <w:highlight w:val="none"/>
          <w:vertAlign w:val="superscript"/>
          <w:lang w:eastAsia="zh-CN"/>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w:t>
      </w:r>
    </w:p>
    <w:p w14:paraId="393ED147">
      <w:pPr>
        <w:keepNext w:val="0"/>
        <w:keepLines w:val="0"/>
        <w:widowControl/>
        <w:suppressLineNumbers w:val="0"/>
        <w:spacing w:before="0" w:beforeAutospacing="0" w:after="0" w:afterAutospacing="0"/>
        <w:ind w:left="0" w:right="0"/>
        <w:jc w:val="both"/>
        <w:rPr>
          <w:rFonts w:hint="eastAsia" w:ascii="宋体" w:hAnsi="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建设后径流系数</w:t>
      </w:r>
      <w:r>
        <w:rPr>
          <w:rFonts w:hint="eastAsia" w:ascii="宋体" w:hAnsi="宋体" w:cs="宋体"/>
          <w:color w:val="000000" w:themeColor="text1"/>
          <w:sz w:val="24"/>
          <w:szCs w:val="24"/>
          <w:highlight w:val="none"/>
          <w:lang w:val="en-US" w:eastAsia="zh-CN"/>
          <w14:textFill>
            <w14:solidFill>
              <w14:schemeClr w14:val="tx1"/>
            </w14:solidFill>
          </w14:textFill>
        </w:rPr>
        <w:t>0.502，</w:t>
      </w:r>
      <w:r>
        <w:rPr>
          <w:rFonts w:hint="eastAsia" w:ascii="宋体" w:hAnsi="宋体" w:cs="宋体"/>
          <w:color w:val="000000" w:themeColor="text1"/>
          <w:sz w:val="24"/>
          <w:szCs w:val="24"/>
          <w:highlight w:val="none"/>
          <w:lang w:eastAsia="zh-CN"/>
          <w14:textFill>
            <w14:solidFill>
              <w14:schemeClr w14:val="tx1"/>
            </w14:solidFill>
          </w14:textFill>
        </w:rPr>
        <w:t>则雨水径流量为：</w:t>
      </w:r>
      <w:r>
        <w:rPr>
          <w:color w:val="000000" w:themeColor="text1"/>
          <w:highlight w:val="none"/>
          <w14:textFill>
            <w14:solidFill>
              <w14:schemeClr w14:val="tx1"/>
            </w14:solidFill>
          </w14:textFill>
        </w:rPr>
        <w:t>Q=q</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F</w:t>
      </w:r>
      <w:r>
        <w:rPr>
          <w:rFonts w:hint="eastAsia"/>
          <w:color w:val="000000" w:themeColor="text1"/>
          <w:highlight w:val="none"/>
          <w14:textFill>
            <w14:solidFill>
              <w14:schemeClr w14:val="tx1"/>
            </w14:solidFill>
          </w14:textFill>
        </w:rPr>
        <w:t>·Ψ</w:t>
      </w:r>
      <w:r>
        <w:rPr>
          <w:rFonts w:hint="eastAsia" w:ascii="宋体" w:hAnsi="宋体" w:cs="宋体"/>
          <w:color w:val="000000" w:themeColor="text1"/>
          <w:sz w:val="24"/>
          <w:szCs w:val="24"/>
          <w:highlight w:val="none"/>
          <w:lang w:eastAsia="zh-CN"/>
          <w14:textFill>
            <w14:solidFill>
              <w14:schemeClr w14:val="tx1"/>
            </w14:solidFill>
          </w14:textFill>
        </w:rPr>
        <w:t>=0.</w:t>
      </w:r>
      <w:r>
        <w:rPr>
          <w:rFonts w:hint="eastAsia" w:ascii="宋体" w:hAnsi="宋体" w:cs="宋体"/>
          <w:color w:val="000000" w:themeColor="text1"/>
          <w:sz w:val="24"/>
          <w:szCs w:val="24"/>
          <w:highlight w:val="none"/>
          <w:lang w:val="en-US" w:eastAsia="zh-CN"/>
          <w14:textFill>
            <w14:solidFill>
              <w14:schemeClr w14:val="tx1"/>
            </w14:solidFill>
          </w14:textFill>
        </w:rPr>
        <w:t>502</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430.21</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lang w:val="en-US" w:eastAsia="zh-CN"/>
          <w14:textFill>
            <w14:solidFill>
              <w14:schemeClr w14:val="tx1"/>
            </w14:solidFill>
          </w14:textFill>
        </w:rPr>
        <w:t>17557.32</w:t>
      </w:r>
      <w:r>
        <w:rPr>
          <w:rFonts w:hint="eastAsia" w:ascii="宋体" w:hAnsi="宋体" w:cs="宋体"/>
          <w:color w:val="000000" w:themeColor="text1"/>
          <w:sz w:val="24"/>
          <w:szCs w:val="24"/>
          <w:highlight w:val="none"/>
          <w:lang w:eastAsia="zh-CN"/>
          <w14:textFill>
            <w14:solidFill>
              <w14:schemeClr w14:val="tx1"/>
            </w14:solidFill>
          </w14:textFill>
        </w:rPr>
        <w:t>/10000=</w:t>
      </w:r>
      <w:r>
        <w:rPr>
          <w:rFonts w:hint="eastAsia" w:ascii="宋体" w:hAnsi="宋体" w:cs="宋体"/>
          <w:color w:val="000000" w:themeColor="text1"/>
          <w:sz w:val="24"/>
          <w:szCs w:val="24"/>
          <w:highlight w:val="yellow"/>
          <w:lang w:val="en-US" w:eastAsia="zh-CN"/>
          <w14:textFill>
            <w14:solidFill>
              <w14:schemeClr w14:val="tx1"/>
            </w14:solidFill>
          </w14:textFill>
        </w:rPr>
        <w:t>379.17</w:t>
      </w:r>
      <w:r>
        <w:rPr>
          <w:rFonts w:hint="eastAsia" w:ascii="宋体" w:hAnsi="宋体" w:cs="宋体"/>
          <w:color w:val="000000" w:themeColor="text1"/>
          <w:sz w:val="24"/>
          <w:szCs w:val="24"/>
          <w:highlight w:val="none"/>
          <w:lang w:eastAsia="zh-CN"/>
          <w14:textFill>
            <w14:solidFill>
              <w14:schemeClr w14:val="tx1"/>
            </w14:solidFill>
          </w14:textFill>
        </w:rPr>
        <w:t>（L/s）</w:t>
      </w:r>
    </w:p>
    <w:p w14:paraId="134E4248">
      <w:pPr>
        <w:keepNext w:val="0"/>
        <w:keepLines w:val="0"/>
        <w:widowControl/>
        <w:suppressLineNumbers w:val="0"/>
        <w:spacing w:before="0" w:beforeAutospacing="0" w:after="0" w:afterAutospacing="0"/>
        <w:ind w:left="0" w:right="0"/>
        <w:jc w:val="both"/>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根据《预制装配式钢筋混凝土</w:t>
      </w:r>
      <w:bookmarkStart w:id="5" w:name="_GoBack"/>
      <w:bookmarkEnd w:id="5"/>
      <w:r>
        <w:rPr>
          <w:rFonts w:hint="eastAsia" w:ascii="宋体" w:hAnsi="宋体" w:cs="宋体"/>
          <w:color w:val="000000" w:themeColor="text1"/>
          <w:sz w:val="24"/>
          <w:szCs w:val="24"/>
          <w:highlight w:val="none"/>
          <w:lang w:val="en-US" w:eastAsia="zh-CN"/>
          <w14:textFill>
            <w14:solidFill>
              <w14:schemeClr w14:val="tx1"/>
            </w14:solidFill>
          </w14:textFill>
        </w:rPr>
        <w:t>雨水口标准图集》，单个平入式</w:t>
      </w:r>
      <w:r>
        <w:rPr>
          <w:rFonts w:hint="eastAsia" w:ascii="宋体" w:hAnsi="宋体" w:cs="宋体"/>
          <w:color w:val="000000" w:themeColor="text1"/>
          <w:sz w:val="24"/>
          <w:szCs w:val="24"/>
          <w:highlight w:val="none"/>
          <w:lang w:eastAsia="zh-CN"/>
          <w14:textFill>
            <w14:solidFill>
              <w14:schemeClr w14:val="tx1"/>
            </w14:solidFill>
          </w14:textFill>
        </w:rPr>
        <w:t>双篦</w:t>
      </w:r>
      <w:r>
        <w:rPr>
          <w:rFonts w:hint="eastAsia" w:ascii="宋体" w:hAnsi="宋体" w:cs="宋体"/>
          <w:color w:val="000000" w:themeColor="text1"/>
          <w:sz w:val="24"/>
          <w:szCs w:val="24"/>
          <w:highlight w:val="none"/>
          <w:lang w:val="en-US" w:eastAsia="zh-CN"/>
          <w14:textFill>
            <w14:solidFill>
              <w14:schemeClr w14:val="tx1"/>
            </w14:solidFill>
          </w14:textFill>
        </w:rPr>
        <w:t>雨水口设计排水能力为 50L/S，溢流式双篦雨水口设计排水能力为50L/S，整体道路内</w:t>
      </w:r>
      <w:r>
        <w:rPr>
          <w:rFonts w:hint="eastAsia" w:ascii="宋体" w:hAnsi="宋体" w:cs="宋体"/>
          <w:color w:val="000000" w:themeColor="text1"/>
          <w:sz w:val="24"/>
          <w:szCs w:val="24"/>
          <w:highlight w:val="none"/>
          <w:lang w:eastAsia="zh-CN"/>
          <w14:textFill>
            <w14:solidFill>
              <w14:schemeClr w14:val="tx1"/>
            </w14:solidFill>
          </w14:textFill>
        </w:rPr>
        <w:t>新建</w:t>
      </w:r>
      <w:r>
        <w:rPr>
          <w:rFonts w:hint="eastAsia" w:ascii="宋体" w:hAnsi="宋体" w:cs="宋体"/>
          <w:color w:val="000000" w:themeColor="text1"/>
          <w:sz w:val="24"/>
          <w:szCs w:val="24"/>
          <w:highlight w:val="none"/>
          <w:lang w:val="en-US" w:eastAsia="zh-CN"/>
          <w14:textFill>
            <w14:solidFill>
              <w14:schemeClr w14:val="tx1"/>
            </w14:solidFill>
          </w14:textFill>
        </w:rPr>
        <w:t>平入式</w:t>
      </w:r>
      <w:r>
        <w:rPr>
          <w:rFonts w:hint="eastAsia" w:ascii="宋体" w:hAnsi="宋体" w:cs="宋体"/>
          <w:color w:val="000000" w:themeColor="text1"/>
          <w:sz w:val="24"/>
          <w:szCs w:val="24"/>
          <w:highlight w:val="none"/>
          <w:lang w:eastAsia="zh-CN"/>
          <w14:textFill>
            <w14:solidFill>
              <w14:schemeClr w14:val="tx1"/>
            </w14:solidFill>
          </w14:textFill>
        </w:rPr>
        <w:t>双篦雨水口</w:t>
      </w:r>
      <w:r>
        <w:rPr>
          <w:rFonts w:hint="eastAsia" w:ascii="宋体" w:hAnsi="宋体" w:cs="宋体"/>
          <w:color w:val="000000" w:themeColor="text1"/>
          <w:sz w:val="24"/>
          <w:szCs w:val="24"/>
          <w:highlight w:val="none"/>
          <w:lang w:val="en-US" w:eastAsia="zh-CN"/>
          <w14:textFill>
            <w14:solidFill>
              <w14:schemeClr w14:val="tx1"/>
            </w14:solidFill>
          </w14:textFill>
        </w:rPr>
        <w:t>11座，溢流式雨水口27座，设计排水能力共1900L/S，大于</w:t>
      </w:r>
      <w:r>
        <w:rPr>
          <w:rFonts w:hint="eastAsia" w:ascii="宋体" w:hAnsi="宋体" w:cs="宋体"/>
          <w:color w:val="000000" w:themeColor="text1"/>
          <w:sz w:val="24"/>
          <w:szCs w:val="24"/>
          <w:highlight w:val="yellow"/>
          <w:lang w:val="en-US" w:eastAsia="zh-CN"/>
          <w14:textFill>
            <w14:solidFill>
              <w14:schemeClr w14:val="tx1"/>
            </w14:solidFill>
          </w14:textFill>
        </w:rPr>
        <w:t>379.17</w:t>
      </w:r>
      <w:r>
        <w:rPr>
          <w:rFonts w:hint="eastAsia" w:ascii="宋体" w:hAnsi="宋体" w:cs="宋体"/>
          <w:color w:val="000000" w:themeColor="text1"/>
          <w:sz w:val="24"/>
          <w:szCs w:val="24"/>
          <w:highlight w:val="none"/>
          <w:lang w:eastAsia="zh-CN"/>
          <w14:textFill>
            <w14:solidFill>
              <w14:schemeClr w14:val="tx1"/>
            </w14:solidFill>
          </w14:textFill>
        </w:rPr>
        <w:t>L/s，满足排水需求。</w:t>
      </w:r>
    </w:p>
    <w:p w14:paraId="16F4D6BC">
      <w:pPr>
        <w:ind w:left="0" w:leftChars="0" w:firstLine="0" w:firstLineChars="0"/>
        <w:rPr>
          <w:color w:val="auto"/>
          <w:highlight w:val="none"/>
        </w:rPr>
      </w:pPr>
    </w:p>
    <w:p w14:paraId="1B8C1357">
      <w:pPr>
        <w:ind w:left="0" w:leftChars="0" w:firstLine="0" w:firstLineChars="0"/>
        <w:rPr>
          <w:color w:val="auto"/>
          <w:highlight w:val="none"/>
        </w:rPr>
      </w:pPr>
    </w:p>
    <w:p w14:paraId="0FF6BFB6">
      <w:pPr>
        <w:ind w:left="0" w:leftChars="0" w:firstLine="0" w:firstLineChars="0"/>
        <w:rPr>
          <w:color w:val="auto"/>
          <w:highlight w:val="none"/>
        </w:rPr>
        <w:sectPr>
          <w:headerReference r:id="rId5" w:type="default"/>
          <w:footerReference r:id="rId6" w:type="default"/>
          <w:type w:val="continuous"/>
          <w:pgSz w:w="23814" w:h="16839" w:orient="landscape"/>
          <w:pgMar w:top="1418" w:right="1440" w:bottom="1080" w:left="1440" w:header="851" w:footer="851" w:gutter="0"/>
          <w:pgNumType w:fmt="decimal" w:start="1"/>
          <w:cols w:equalWidth="0" w:num="2">
            <w:col w:w="10254" w:space="425"/>
            <w:col w:w="10254"/>
          </w:cols>
          <w:docGrid w:linePitch="326" w:charSpace="288017"/>
        </w:sectPr>
      </w:pPr>
    </w:p>
    <w:p w14:paraId="7ACFB2DA">
      <w:pPr>
        <w:pStyle w:val="2"/>
        <w:spacing w:beforeLines="0"/>
        <w:rPr>
          <w:color w:val="auto"/>
          <w:highlight w:val="none"/>
        </w:rPr>
      </w:pPr>
      <w:r>
        <w:rPr>
          <w:rFonts w:hint="eastAsia"/>
          <w:color w:val="auto"/>
          <w:highlight w:val="none"/>
        </w:rPr>
        <w:t>附件：</w:t>
      </w:r>
      <w:r>
        <w:rPr>
          <w:color w:val="auto"/>
          <w:highlight w:val="none"/>
        </w:rPr>
        <w:t>四图三表</w:t>
      </w:r>
    </w:p>
    <w:p w14:paraId="1D91F626">
      <w:pPr>
        <w:pStyle w:val="28"/>
        <w:snapToGrid w:val="0"/>
        <w:ind w:firstLine="0" w:firstLineChars="0"/>
        <w:jc w:val="center"/>
        <w:rPr>
          <w:b/>
          <w:color w:val="auto"/>
          <w:highlight w:val="none"/>
        </w:rPr>
      </w:pPr>
      <w:r>
        <w:rPr>
          <w:rFonts w:hint="eastAsia"/>
          <w:b/>
          <w:color w:val="auto"/>
          <w:highlight w:val="none"/>
        </w:rPr>
        <w:t>1.建设项目海绵城市目标取值计算表</w:t>
      </w:r>
    </w:p>
    <w:tbl>
      <w:tblPr>
        <w:tblStyle w:val="17"/>
        <w:tblW w:w="84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8"/>
        <w:gridCol w:w="584"/>
        <w:gridCol w:w="3015"/>
        <w:gridCol w:w="1484"/>
        <w:gridCol w:w="2074"/>
      </w:tblGrid>
      <w:tr w14:paraId="11241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tcBorders>
              <w:bottom w:val="single" w:color="auto" w:sz="4" w:space="0"/>
            </w:tcBorders>
          </w:tcPr>
          <w:p w14:paraId="1BFCD6E6">
            <w:pPr>
              <w:pStyle w:val="38"/>
              <w:spacing w:before="47" w:line="240" w:lineRule="auto"/>
              <w:ind w:left="61" w:right="50" w:firstLine="0" w:firstLineChars="0"/>
              <w:jc w:val="center"/>
              <w:rPr>
                <w:b/>
                <w:color w:val="auto"/>
                <w:highlight w:val="none"/>
              </w:rPr>
            </w:pPr>
            <w:r>
              <w:rPr>
                <w:b/>
                <w:color w:val="auto"/>
                <w:highlight w:val="none"/>
              </w:rPr>
              <w:t>项目类型</w:t>
            </w:r>
          </w:p>
        </w:tc>
        <w:tc>
          <w:tcPr>
            <w:tcW w:w="584" w:type="dxa"/>
            <w:tcBorders>
              <w:bottom w:val="single" w:color="auto" w:sz="4" w:space="0"/>
            </w:tcBorders>
          </w:tcPr>
          <w:p w14:paraId="60ADE037">
            <w:pPr>
              <w:pStyle w:val="38"/>
              <w:spacing w:before="47" w:line="240" w:lineRule="auto"/>
              <w:ind w:left="32" w:right="20" w:firstLine="0" w:firstLineChars="0"/>
              <w:jc w:val="center"/>
              <w:rPr>
                <w:b/>
                <w:color w:val="auto"/>
                <w:highlight w:val="none"/>
              </w:rPr>
            </w:pPr>
            <w:r>
              <w:rPr>
                <w:b/>
                <w:color w:val="auto"/>
                <w:highlight w:val="none"/>
              </w:rPr>
              <w:t>序号</w:t>
            </w:r>
          </w:p>
        </w:tc>
        <w:tc>
          <w:tcPr>
            <w:tcW w:w="3015" w:type="dxa"/>
            <w:tcBorders>
              <w:bottom w:val="single" w:color="auto" w:sz="4" w:space="0"/>
            </w:tcBorders>
          </w:tcPr>
          <w:p w14:paraId="7D6F3371">
            <w:pPr>
              <w:pStyle w:val="38"/>
              <w:spacing w:before="47" w:line="240" w:lineRule="auto"/>
              <w:ind w:left="1005" w:right="995" w:firstLine="0" w:firstLineChars="0"/>
              <w:jc w:val="center"/>
              <w:rPr>
                <w:b/>
                <w:color w:val="auto"/>
                <w:highlight w:val="none"/>
              </w:rPr>
            </w:pPr>
            <w:r>
              <w:rPr>
                <w:b/>
                <w:color w:val="auto"/>
                <w:highlight w:val="none"/>
              </w:rPr>
              <w:t>指标名称</w:t>
            </w:r>
          </w:p>
        </w:tc>
        <w:tc>
          <w:tcPr>
            <w:tcW w:w="1484" w:type="dxa"/>
            <w:tcBorders>
              <w:bottom w:val="single" w:color="auto" w:sz="4" w:space="0"/>
            </w:tcBorders>
          </w:tcPr>
          <w:p w14:paraId="117C8197">
            <w:pPr>
              <w:pStyle w:val="38"/>
              <w:spacing w:before="47" w:line="240" w:lineRule="auto"/>
              <w:ind w:left="382" w:firstLine="0" w:firstLineChars="0"/>
              <w:rPr>
                <w:b/>
                <w:color w:val="auto"/>
                <w:highlight w:val="none"/>
              </w:rPr>
            </w:pPr>
            <w:r>
              <w:rPr>
                <w:b/>
                <w:color w:val="auto"/>
                <w:highlight w:val="none"/>
              </w:rPr>
              <w:t>目标值</w:t>
            </w:r>
          </w:p>
        </w:tc>
        <w:tc>
          <w:tcPr>
            <w:tcW w:w="2074" w:type="dxa"/>
            <w:tcBorders>
              <w:bottom w:val="single" w:color="auto" w:sz="4" w:space="0"/>
            </w:tcBorders>
          </w:tcPr>
          <w:p w14:paraId="6ACA74B3">
            <w:pPr>
              <w:pStyle w:val="38"/>
              <w:spacing w:before="47" w:line="240" w:lineRule="auto"/>
              <w:ind w:left="556" w:firstLine="0" w:firstLineChars="0"/>
              <w:rPr>
                <w:b/>
                <w:color w:val="auto"/>
                <w:highlight w:val="none"/>
              </w:rPr>
            </w:pPr>
            <w:r>
              <w:rPr>
                <w:b/>
                <w:color w:val="auto"/>
                <w:highlight w:val="none"/>
              </w:rPr>
              <w:t>取值依据</w:t>
            </w:r>
          </w:p>
        </w:tc>
      </w:tr>
      <w:tr w14:paraId="3A9AF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restart"/>
            <w:tcBorders>
              <w:top w:val="single" w:color="auto" w:sz="4" w:space="0"/>
              <w:left w:val="single" w:color="auto" w:sz="4" w:space="0"/>
              <w:bottom w:val="single" w:color="auto" w:sz="4" w:space="0"/>
              <w:right w:val="single" w:color="auto" w:sz="4" w:space="0"/>
            </w:tcBorders>
            <w:vAlign w:val="center"/>
          </w:tcPr>
          <w:p w14:paraId="4AA7E840">
            <w:pPr>
              <w:pStyle w:val="38"/>
              <w:spacing w:before="47" w:line="240" w:lineRule="auto"/>
              <w:ind w:left="61" w:right="51" w:firstLine="0" w:firstLineChars="0"/>
              <w:jc w:val="center"/>
              <w:rPr>
                <w:color w:val="auto"/>
                <w:highlight w:val="none"/>
              </w:rPr>
            </w:pPr>
            <w:r>
              <w:rPr>
                <w:rFonts w:eastAsia="Times New Roman"/>
                <w:color w:val="auto"/>
                <w:highlight w:val="none"/>
              </w:rPr>
              <w:t>□</w:t>
            </w:r>
            <w:r>
              <w:rPr>
                <w:color w:val="auto"/>
                <w:highlight w:val="none"/>
              </w:rPr>
              <w:t>建筑小区</w:t>
            </w:r>
          </w:p>
        </w:tc>
        <w:tc>
          <w:tcPr>
            <w:tcW w:w="584" w:type="dxa"/>
            <w:tcBorders>
              <w:top w:val="single" w:color="auto" w:sz="4" w:space="0"/>
              <w:left w:val="single" w:color="auto" w:sz="4" w:space="0"/>
              <w:bottom w:val="single" w:color="auto" w:sz="4" w:space="0"/>
              <w:right w:val="single" w:color="auto" w:sz="4" w:space="0"/>
            </w:tcBorders>
          </w:tcPr>
          <w:p w14:paraId="64AD17C3">
            <w:pPr>
              <w:pStyle w:val="38"/>
              <w:spacing w:before="63" w:line="240" w:lineRule="auto"/>
              <w:ind w:left="12" w:firstLine="0" w:firstLineChars="0"/>
              <w:jc w:val="center"/>
              <w:rPr>
                <w:color w:val="auto"/>
                <w:highlight w:val="none"/>
              </w:rPr>
            </w:pPr>
            <w:r>
              <w:rPr>
                <w:color w:val="auto"/>
                <w:highlight w:val="none"/>
              </w:rPr>
              <w:t>1</w:t>
            </w:r>
          </w:p>
        </w:tc>
        <w:tc>
          <w:tcPr>
            <w:tcW w:w="3015" w:type="dxa"/>
            <w:tcBorders>
              <w:top w:val="single" w:color="auto" w:sz="4" w:space="0"/>
              <w:left w:val="single" w:color="auto" w:sz="4" w:space="0"/>
              <w:bottom w:val="single" w:color="auto" w:sz="4" w:space="0"/>
              <w:right w:val="single" w:color="auto" w:sz="4" w:space="0"/>
            </w:tcBorders>
          </w:tcPr>
          <w:p w14:paraId="64667A65">
            <w:pPr>
              <w:pStyle w:val="38"/>
              <w:spacing w:before="47" w:line="240" w:lineRule="auto"/>
              <w:ind w:left="547" w:firstLine="0" w:firstLineChars="0"/>
              <w:rPr>
                <w:color w:val="auto"/>
                <w:highlight w:val="none"/>
              </w:rPr>
            </w:pPr>
            <w:r>
              <w:rPr>
                <w:color w:val="auto"/>
                <w:highlight w:val="none"/>
              </w:rPr>
              <w:t>年径流总量控制率</w:t>
            </w:r>
          </w:p>
        </w:tc>
        <w:tc>
          <w:tcPr>
            <w:tcW w:w="1484" w:type="dxa"/>
            <w:tcBorders>
              <w:top w:val="single" w:color="auto" w:sz="4" w:space="0"/>
              <w:left w:val="single" w:color="auto" w:sz="4" w:space="0"/>
              <w:bottom w:val="single" w:color="auto" w:sz="4" w:space="0"/>
              <w:right w:val="single" w:color="auto" w:sz="4" w:space="0"/>
            </w:tcBorders>
            <w:vAlign w:val="center"/>
          </w:tcPr>
          <w:p w14:paraId="6D337F87">
            <w:pPr>
              <w:pStyle w:val="38"/>
              <w:spacing w:line="240" w:lineRule="auto"/>
              <w:ind w:firstLine="0" w:firstLineChars="0"/>
              <w:jc w:val="center"/>
              <w:rPr>
                <w:color w:val="auto"/>
                <w:sz w:val="22"/>
                <w:highlight w:val="none"/>
              </w:rPr>
            </w:pPr>
          </w:p>
        </w:tc>
        <w:tc>
          <w:tcPr>
            <w:tcW w:w="2074" w:type="dxa"/>
            <w:vMerge w:val="restart"/>
            <w:tcBorders>
              <w:top w:val="single" w:color="auto" w:sz="4" w:space="0"/>
              <w:left w:val="single" w:color="auto" w:sz="4" w:space="0"/>
              <w:bottom w:val="single" w:color="auto" w:sz="4" w:space="0"/>
              <w:right w:val="single" w:color="auto" w:sz="4" w:space="0"/>
            </w:tcBorders>
          </w:tcPr>
          <w:p w14:paraId="228BF1A8">
            <w:pPr>
              <w:pStyle w:val="38"/>
              <w:spacing w:before="8" w:line="288" w:lineRule="auto"/>
              <w:ind w:firstLine="0" w:firstLineChars="0"/>
              <w:rPr>
                <w:color w:val="auto"/>
                <w:sz w:val="20"/>
                <w:highlight w:val="none"/>
              </w:rPr>
            </w:pPr>
          </w:p>
          <w:p w14:paraId="7935F0FF">
            <w:pPr>
              <w:pStyle w:val="38"/>
              <w:spacing w:line="288" w:lineRule="auto"/>
              <w:ind w:left="16" w:right="50" w:firstLine="0" w:firstLineChars="0"/>
              <w:rPr>
                <w:color w:val="auto"/>
                <w:sz w:val="21"/>
                <w:highlight w:val="none"/>
              </w:rPr>
            </w:pPr>
            <w:r>
              <w:rPr>
                <w:rFonts w:eastAsia="Times New Roman"/>
                <w:color w:val="auto"/>
                <w:sz w:val="21"/>
                <w:highlight w:val="none"/>
              </w:rPr>
              <w:t>1</w:t>
            </w:r>
            <w:r>
              <w:rPr>
                <w:color w:val="auto"/>
                <w:sz w:val="21"/>
                <w:highlight w:val="none"/>
              </w:rPr>
              <w:t>、《广州市建设项目雨水径流控制办法》</w:t>
            </w:r>
          </w:p>
          <w:p w14:paraId="6E5BA029">
            <w:pPr>
              <w:pStyle w:val="38"/>
              <w:spacing w:line="288" w:lineRule="auto"/>
              <w:ind w:left="16" w:right="157" w:firstLine="0" w:firstLineChars="0"/>
              <w:rPr>
                <w:color w:val="auto"/>
                <w:sz w:val="21"/>
                <w:highlight w:val="none"/>
              </w:rPr>
            </w:pPr>
            <w:r>
              <w:rPr>
                <w:color w:val="auto"/>
                <w:sz w:val="21"/>
                <w:highlight w:val="none"/>
              </w:rPr>
              <w:t>（</w:t>
            </w:r>
            <w:r>
              <w:rPr>
                <w:color w:val="auto"/>
                <w:spacing w:val="-3"/>
                <w:sz w:val="21"/>
                <w:highlight w:val="none"/>
              </w:rPr>
              <w:t>广州市人民政府令</w:t>
            </w:r>
            <w:r>
              <w:rPr>
                <w:color w:val="auto"/>
                <w:sz w:val="21"/>
                <w:highlight w:val="none"/>
              </w:rPr>
              <w:t>书（</w:t>
            </w:r>
            <w:r>
              <w:rPr>
                <w:color w:val="auto"/>
                <w:spacing w:val="-27"/>
                <w:sz w:val="21"/>
                <w:highlight w:val="none"/>
              </w:rPr>
              <w:t xml:space="preserve">第 </w:t>
            </w:r>
            <w:r>
              <w:rPr>
                <w:rFonts w:eastAsia="Times New Roman"/>
                <w:color w:val="auto"/>
                <w:sz w:val="21"/>
                <w:highlight w:val="none"/>
              </w:rPr>
              <w:t>1</w:t>
            </w:r>
            <w:r>
              <w:rPr>
                <w:rFonts w:eastAsia="Times New Roman"/>
                <w:color w:val="auto"/>
                <w:spacing w:val="-1"/>
                <w:sz w:val="21"/>
                <w:highlight w:val="none"/>
              </w:rPr>
              <w:t>0</w:t>
            </w:r>
            <w:r>
              <w:rPr>
                <w:rFonts w:eastAsia="Times New Roman"/>
                <w:color w:val="auto"/>
                <w:sz w:val="21"/>
                <w:highlight w:val="none"/>
              </w:rPr>
              <w:t xml:space="preserve">7 </w:t>
            </w:r>
            <w:r>
              <w:rPr>
                <w:color w:val="auto"/>
                <w:sz w:val="21"/>
                <w:highlight w:val="none"/>
              </w:rPr>
              <w:t>号</w:t>
            </w:r>
            <w:r>
              <w:rPr>
                <w:color w:val="auto"/>
                <w:spacing w:val="-105"/>
                <w:sz w:val="21"/>
                <w:highlight w:val="none"/>
              </w:rPr>
              <w:t>））</w:t>
            </w:r>
          </w:p>
          <w:p w14:paraId="1EBF2A97">
            <w:pPr>
              <w:pStyle w:val="38"/>
              <w:spacing w:line="288" w:lineRule="auto"/>
              <w:ind w:left="16" w:right="-15" w:firstLine="0" w:firstLineChars="0"/>
              <w:rPr>
                <w:color w:val="auto"/>
                <w:sz w:val="21"/>
                <w:highlight w:val="none"/>
              </w:rPr>
            </w:pPr>
            <w:r>
              <w:rPr>
                <w:rFonts w:eastAsia="Times New Roman"/>
                <w:color w:val="auto"/>
                <w:sz w:val="21"/>
                <w:highlight w:val="none"/>
              </w:rPr>
              <w:t>2</w:t>
            </w:r>
            <w:r>
              <w:rPr>
                <w:color w:val="auto"/>
                <w:sz w:val="21"/>
                <w:highlight w:val="none"/>
              </w:rPr>
              <w:t>、《广州市海绵城市</w:t>
            </w:r>
            <w:r>
              <w:rPr>
                <w:color w:val="auto"/>
                <w:spacing w:val="-15"/>
                <w:sz w:val="21"/>
                <w:highlight w:val="none"/>
              </w:rPr>
              <w:t>建设管理办法》</w:t>
            </w:r>
            <w:r>
              <w:rPr>
                <w:color w:val="auto"/>
                <w:sz w:val="21"/>
                <w:highlight w:val="none"/>
              </w:rPr>
              <w:t>（穗府办规〔</w:t>
            </w:r>
            <w:r>
              <w:rPr>
                <w:rFonts w:eastAsia="Times New Roman"/>
                <w:color w:val="auto"/>
                <w:sz w:val="21"/>
                <w:highlight w:val="none"/>
              </w:rPr>
              <w:t>2</w:t>
            </w:r>
            <w:r>
              <w:rPr>
                <w:rFonts w:eastAsia="Times New Roman"/>
                <w:color w:val="auto"/>
                <w:spacing w:val="-1"/>
                <w:sz w:val="21"/>
                <w:highlight w:val="none"/>
              </w:rPr>
              <w:t>0</w:t>
            </w:r>
            <w:r>
              <w:rPr>
                <w:rFonts w:eastAsia="Times New Roman"/>
                <w:color w:val="auto"/>
                <w:sz w:val="21"/>
                <w:highlight w:val="none"/>
              </w:rPr>
              <w:t>2</w:t>
            </w:r>
            <w:r>
              <w:rPr>
                <w:rFonts w:eastAsia="Times New Roman"/>
                <w:color w:val="auto"/>
                <w:spacing w:val="-1"/>
                <w:sz w:val="21"/>
                <w:highlight w:val="none"/>
              </w:rPr>
              <w:t>0</w:t>
            </w:r>
            <w:r>
              <w:rPr>
                <w:color w:val="auto"/>
                <w:sz w:val="21"/>
                <w:highlight w:val="none"/>
              </w:rPr>
              <w:t>〕</w:t>
            </w:r>
            <w:r>
              <w:rPr>
                <w:rFonts w:eastAsia="Times New Roman"/>
                <w:color w:val="auto"/>
                <w:sz w:val="21"/>
                <w:highlight w:val="none"/>
              </w:rPr>
              <w:t xml:space="preserve">27 </w:t>
            </w:r>
            <w:r>
              <w:rPr>
                <w:color w:val="auto"/>
                <w:spacing w:val="-2"/>
                <w:sz w:val="21"/>
                <w:highlight w:val="none"/>
              </w:rPr>
              <w:t>号</w:t>
            </w:r>
            <w:r>
              <w:rPr>
                <w:color w:val="auto"/>
                <w:spacing w:val="-105"/>
                <w:sz w:val="21"/>
                <w:highlight w:val="none"/>
              </w:rPr>
              <w:t>）</w:t>
            </w:r>
            <w:r>
              <w:rPr>
                <w:color w:val="auto"/>
                <w:sz w:val="21"/>
                <w:highlight w:val="none"/>
              </w:rPr>
              <w:t xml:space="preserve">； </w:t>
            </w:r>
            <w:r>
              <w:rPr>
                <w:rFonts w:eastAsia="Times New Roman"/>
                <w:color w:val="auto"/>
                <w:sz w:val="21"/>
                <w:highlight w:val="none"/>
              </w:rPr>
              <w:t>3</w:t>
            </w:r>
            <w:r>
              <w:rPr>
                <w:color w:val="auto"/>
                <w:sz w:val="21"/>
                <w:highlight w:val="none"/>
              </w:rPr>
              <w:t>、《广州市建设项目海绵城市建设管控指标分类指引（试行</w:t>
            </w:r>
            <w:r>
              <w:rPr>
                <w:color w:val="auto"/>
                <w:spacing w:val="-105"/>
                <w:sz w:val="21"/>
                <w:highlight w:val="none"/>
              </w:rPr>
              <w:t>）</w:t>
            </w:r>
            <w:r>
              <w:rPr>
                <w:color w:val="auto"/>
                <w:sz w:val="21"/>
                <w:highlight w:val="none"/>
              </w:rPr>
              <w:t>》</w:t>
            </w:r>
          </w:p>
          <w:p w14:paraId="0AC728CD">
            <w:pPr>
              <w:pStyle w:val="38"/>
              <w:spacing w:line="288" w:lineRule="auto"/>
              <w:ind w:left="16" w:right="52" w:firstLine="0" w:firstLineChars="0"/>
              <w:rPr>
                <w:color w:val="auto"/>
                <w:sz w:val="21"/>
                <w:highlight w:val="none"/>
              </w:rPr>
            </w:pPr>
            <w:r>
              <w:rPr>
                <w:color w:val="auto"/>
                <w:sz w:val="21"/>
                <w:highlight w:val="none"/>
              </w:rPr>
              <w:t>（穗水河湖〔</w:t>
            </w:r>
            <w:r>
              <w:rPr>
                <w:rFonts w:eastAsia="Times New Roman"/>
                <w:color w:val="auto"/>
                <w:sz w:val="21"/>
                <w:highlight w:val="none"/>
              </w:rPr>
              <w:t>2020</w:t>
            </w:r>
            <w:r>
              <w:rPr>
                <w:color w:val="auto"/>
                <w:sz w:val="21"/>
                <w:highlight w:val="none"/>
              </w:rPr>
              <w:t>〕</w:t>
            </w:r>
            <w:r>
              <w:rPr>
                <w:rFonts w:eastAsia="Times New Roman"/>
                <w:color w:val="auto"/>
                <w:spacing w:val="-16"/>
                <w:sz w:val="21"/>
                <w:highlight w:val="none"/>
              </w:rPr>
              <w:t xml:space="preserve">7 </w:t>
            </w:r>
            <w:r>
              <w:rPr>
                <w:color w:val="auto"/>
                <w:sz w:val="21"/>
                <w:highlight w:val="none"/>
              </w:rPr>
              <w:t>号</w:t>
            </w:r>
            <w:r>
              <w:rPr>
                <w:color w:val="auto"/>
                <w:spacing w:val="-105"/>
                <w:sz w:val="21"/>
                <w:highlight w:val="none"/>
              </w:rPr>
              <w:t>）</w:t>
            </w:r>
          </w:p>
          <w:p w14:paraId="78AD070A">
            <w:pPr>
              <w:pStyle w:val="38"/>
              <w:spacing w:line="288" w:lineRule="auto"/>
              <w:ind w:left="16" w:right="50" w:firstLine="0" w:firstLineChars="0"/>
              <w:rPr>
                <w:color w:val="auto"/>
                <w:sz w:val="21"/>
                <w:highlight w:val="none"/>
              </w:rPr>
            </w:pPr>
            <w:r>
              <w:rPr>
                <w:rFonts w:eastAsia="Times New Roman"/>
                <w:color w:val="auto"/>
                <w:sz w:val="21"/>
                <w:highlight w:val="none"/>
              </w:rPr>
              <w:t>4</w:t>
            </w:r>
            <w:r>
              <w:rPr>
                <w:color w:val="auto"/>
                <w:spacing w:val="-2"/>
                <w:sz w:val="21"/>
                <w:highlight w:val="none"/>
              </w:rPr>
              <w:t>、《广州市海绵城市</w:t>
            </w:r>
            <w:r>
              <w:rPr>
                <w:color w:val="auto"/>
                <w:spacing w:val="-10"/>
                <w:sz w:val="21"/>
                <w:highlight w:val="none"/>
              </w:rPr>
              <w:t>规划设计导则</w:t>
            </w:r>
            <w:r>
              <w:rPr>
                <w:color w:val="auto"/>
                <w:sz w:val="21"/>
                <w:highlight w:val="none"/>
              </w:rPr>
              <w:t>（试行</w:t>
            </w:r>
            <w:r>
              <w:rPr>
                <w:color w:val="auto"/>
                <w:spacing w:val="-105"/>
                <w:sz w:val="21"/>
                <w:highlight w:val="none"/>
              </w:rPr>
              <w:t>）</w:t>
            </w:r>
          </w:p>
          <w:p w14:paraId="15B9896D">
            <w:pPr>
              <w:pStyle w:val="38"/>
              <w:spacing w:line="288" w:lineRule="auto"/>
              <w:ind w:left="16" w:right="-116" w:firstLine="0" w:firstLineChars="0"/>
              <w:rPr>
                <w:color w:val="auto"/>
                <w:sz w:val="21"/>
                <w:highlight w:val="none"/>
              </w:rPr>
            </w:pPr>
            <w:r>
              <w:rPr>
                <w:color w:val="auto"/>
                <w:sz w:val="21"/>
                <w:highlight w:val="none"/>
              </w:rPr>
              <w:t>（</w:t>
            </w:r>
            <w:r>
              <w:rPr>
                <w:color w:val="auto"/>
                <w:spacing w:val="-18"/>
                <w:sz w:val="21"/>
                <w:highlight w:val="none"/>
              </w:rPr>
              <w:t>穗水〔</w:t>
            </w:r>
            <w:r>
              <w:rPr>
                <w:rFonts w:eastAsia="Times New Roman"/>
                <w:color w:val="auto"/>
                <w:sz w:val="21"/>
                <w:highlight w:val="none"/>
              </w:rPr>
              <w:t>2017</w:t>
            </w:r>
            <w:r>
              <w:rPr>
                <w:color w:val="auto"/>
                <w:spacing w:val="-54"/>
                <w:sz w:val="21"/>
                <w:highlight w:val="none"/>
              </w:rPr>
              <w:t>〕</w:t>
            </w:r>
            <w:r>
              <w:rPr>
                <w:rFonts w:eastAsia="Times New Roman"/>
                <w:color w:val="auto"/>
                <w:sz w:val="21"/>
                <w:highlight w:val="none"/>
              </w:rPr>
              <w:t>247</w:t>
            </w:r>
            <w:r>
              <w:rPr>
                <w:rFonts w:eastAsia="Times New Roman"/>
                <w:color w:val="auto"/>
                <w:spacing w:val="-3"/>
                <w:sz w:val="21"/>
                <w:highlight w:val="none"/>
              </w:rPr>
              <w:t xml:space="preserve"> </w:t>
            </w:r>
            <w:r>
              <w:rPr>
                <w:color w:val="auto"/>
                <w:sz w:val="21"/>
                <w:highlight w:val="none"/>
              </w:rPr>
              <w:t xml:space="preserve">号） </w:t>
            </w:r>
            <w:r>
              <w:rPr>
                <w:rFonts w:eastAsia="Times New Roman"/>
                <w:color w:val="auto"/>
                <w:sz w:val="21"/>
                <w:highlight w:val="none"/>
              </w:rPr>
              <w:t>5</w:t>
            </w:r>
            <w:r>
              <w:rPr>
                <w:color w:val="auto"/>
                <w:sz w:val="21"/>
                <w:highlight w:val="none"/>
              </w:rPr>
              <w:t>、《广州市海绵城市建设技术指引及标准 图集（试行</w:t>
            </w:r>
            <w:r>
              <w:rPr>
                <w:color w:val="auto"/>
                <w:spacing w:val="-106"/>
                <w:sz w:val="21"/>
                <w:highlight w:val="none"/>
              </w:rPr>
              <w:t>）</w:t>
            </w:r>
            <w:r>
              <w:rPr>
                <w:color w:val="auto"/>
                <w:spacing w:val="-105"/>
                <w:sz w:val="21"/>
                <w:highlight w:val="none"/>
              </w:rPr>
              <w:t>》</w:t>
            </w:r>
            <w:r>
              <w:rPr>
                <w:color w:val="auto"/>
                <w:sz w:val="21"/>
                <w:highlight w:val="none"/>
              </w:rPr>
              <w:t>（穗水</w:t>
            </w:r>
          </w:p>
          <w:p w14:paraId="035FBC15">
            <w:pPr>
              <w:pStyle w:val="38"/>
              <w:spacing w:line="288" w:lineRule="auto"/>
              <w:ind w:left="16" w:firstLine="0" w:firstLineChars="0"/>
              <w:rPr>
                <w:color w:val="auto"/>
                <w:sz w:val="21"/>
                <w:highlight w:val="none"/>
              </w:rPr>
            </w:pPr>
            <w:r>
              <w:rPr>
                <w:color w:val="auto"/>
                <w:sz w:val="21"/>
                <w:highlight w:val="none"/>
              </w:rPr>
              <w:t>〔</w:t>
            </w:r>
            <w:r>
              <w:rPr>
                <w:rFonts w:eastAsia="Times New Roman"/>
                <w:color w:val="auto"/>
                <w:sz w:val="21"/>
                <w:highlight w:val="none"/>
              </w:rPr>
              <w:t>2</w:t>
            </w:r>
            <w:r>
              <w:rPr>
                <w:rFonts w:eastAsia="Times New Roman"/>
                <w:color w:val="auto"/>
                <w:spacing w:val="-1"/>
                <w:sz w:val="21"/>
                <w:highlight w:val="none"/>
              </w:rPr>
              <w:t>0</w:t>
            </w:r>
            <w:r>
              <w:rPr>
                <w:rFonts w:eastAsia="Times New Roman"/>
                <w:color w:val="auto"/>
                <w:sz w:val="21"/>
                <w:highlight w:val="none"/>
              </w:rPr>
              <w:t>17</w:t>
            </w:r>
            <w:r>
              <w:rPr>
                <w:color w:val="auto"/>
                <w:spacing w:val="-2"/>
                <w:sz w:val="21"/>
                <w:highlight w:val="none"/>
              </w:rPr>
              <w:t>〕</w:t>
            </w:r>
            <w:r>
              <w:rPr>
                <w:rFonts w:eastAsia="Times New Roman"/>
                <w:color w:val="auto"/>
                <w:sz w:val="21"/>
                <w:highlight w:val="none"/>
              </w:rPr>
              <w:t>12</w:t>
            </w:r>
            <w:r>
              <w:rPr>
                <w:rFonts w:eastAsia="Times New Roman"/>
                <w:color w:val="auto"/>
                <w:spacing w:val="-1"/>
                <w:sz w:val="21"/>
                <w:highlight w:val="none"/>
              </w:rPr>
              <w:t xml:space="preserve"> </w:t>
            </w:r>
            <w:r>
              <w:rPr>
                <w:color w:val="auto"/>
                <w:sz w:val="21"/>
                <w:highlight w:val="none"/>
              </w:rPr>
              <w:t>号</w:t>
            </w:r>
            <w:r>
              <w:rPr>
                <w:color w:val="auto"/>
                <w:spacing w:val="-105"/>
                <w:sz w:val="21"/>
                <w:highlight w:val="none"/>
              </w:rPr>
              <w:t>）</w:t>
            </w:r>
          </w:p>
          <w:p w14:paraId="356832FB">
            <w:pPr>
              <w:pStyle w:val="38"/>
              <w:numPr>
                <w:ilvl w:val="0"/>
                <w:numId w:val="6"/>
              </w:numPr>
              <w:spacing w:before="155" w:line="288" w:lineRule="auto"/>
              <w:ind w:left="15" w:right="1" w:firstLine="0" w:firstLineChars="0"/>
              <w:rPr>
                <w:color w:val="auto"/>
                <w:sz w:val="21"/>
                <w:highlight w:val="none"/>
              </w:rPr>
            </w:pPr>
            <w:r>
              <w:rPr>
                <w:color w:val="auto"/>
                <w:sz w:val="21"/>
                <w:highlight w:val="none"/>
              </w:rPr>
              <w:t>市、区及重点建设片区海绵城市建设规</w:t>
            </w:r>
            <w:r>
              <w:rPr>
                <w:color w:val="auto"/>
                <w:spacing w:val="-9"/>
                <w:sz w:val="21"/>
                <w:highlight w:val="none"/>
              </w:rPr>
              <w:t>划、区域的控制性详细</w:t>
            </w:r>
            <w:r>
              <w:rPr>
                <w:color w:val="auto"/>
                <w:sz w:val="21"/>
                <w:highlight w:val="none"/>
              </w:rPr>
              <w:t xml:space="preserve">规划海绵城市建设相关指标和管控要求； </w:t>
            </w:r>
          </w:p>
          <w:p w14:paraId="6180414D">
            <w:pPr>
              <w:pStyle w:val="38"/>
              <w:numPr>
                <w:ilvl w:val="0"/>
                <w:numId w:val="6"/>
              </w:numPr>
              <w:spacing w:before="155" w:line="288" w:lineRule="auto"/>
              <w:ind w:left="15" w:right="1" w:firstLine="0" w:firstLineChars="0"/>
              <w:rPr>
                <w:color w:val="auto"/>
                <w:sz w:val="21"/>
                <w:highlight w:val="none"/>
              </w:rPr>
            </w:pPr>
            <w:r>
              <w:rPr>
                <w:color w:val="auto"/>
                <w:sz w:val="21"/>
                <w:highlight w:val="none"/>
              </w:rPr>
              <w:t>相关行业行政主管部门印发的指引等文件要求。</w:t>
            </w:r>
          </w:p>
        </w:tc>
      </w:tr>
      <w:tr w14:paraId="7A80D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tcPr>
          <w:p w14:paraId="0E560628">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0ACFCFB1">
            <w:pPr>
              <w:pStyle w:val="38"/>
              <w:spacing w:before="62" w:line="240" w:lineRule="auto"/>
              <w:ind w:left="12" w:firstLine="0" w:firstLineChars="0"/>
              <w:jc w:val="center"/>
              <w:rPr>
                <w:color w:val="auto"/>
                <w:highlight w:val="none"/>
              </w:rPr>
            </w:pPr>
            <w:r>
              <w:rPr>
                <w:color w:val="auto"/>
                <w:highlight w:val="none"/>
              </w:rPr>
              <w:t>2</w:t>
            </w:r>
          </w:p>
        </w:tc>
        <w:tc>
          <w:tcPr>
            <w:tcW w:w="3015" w:type="dxa"/>
            <w:tcBorders>
              <w:top w:val="single" w:color="auto" w:sz="4" w:space="0"/>
              <w:left w:val="single" w:color="auto" w:sz="4" w:space="0"/>
              <w:bottom w:val="single" w:color="auto" w:sz="4" w:space="0"/>
              <w:right w:val="single" w:color="auto" w:sz="4" w:space="0"/>
            </w:tcBorders>
          </w:tcPr>
          <w:p w14:paraId="7D133B0D">
            <w:pPr>
              <w:pStyle w:val="38"/>
              <w:spacing w:before="46" w:line="240" w:lineRule="auto"/>
              <w:ind w:left="1005" w:right="995" w:firstLine="0" w:firstLineChars="0"/>
              <w:jc w:val="center"/>
              <w:rPr>
                <w:color w:val="auto"/>
                <w:highlight w:val="none"/>
              </w:rPr>
            </w:pPr>
            <w:r>
              <w:rPr>
                <w:color w:val="auto"/>
                <w:highlight w:val="none"/>
              </w:rPr>
              <w:t>绿地率</w:t>
            </w:r>
          </w:p>
        </w:tc>
        <w:tc>
          <w:tcPr>
            <w:tcW w:w="1484" w:type="dxa"/>
            <w:tcBorders>
              <w:top w:val="single" w:color="auto" w:sz="4" w:space="0"/>
              <w:left w:val="single" w:color="auto" w:sz="4" w:space="0"/>
              <w:bottom w:val="single" w:color="auto" w:sz="4" w:space="0"/>
              <w:right w:val="single" w:color="auto" w:sz="4" w:space="0"/>
            </w:tcBorders>
            <w:vAlign w:val="center"/>
          </w:tcPr>
          <w:p w14:paraId="6E95AA8E">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702FDF92">
            <w:pPr>
              <w:spacing w:line="240" w:lineRule="auto"/>
              <w:ind w:firstLine="0" w:firstLineChars="0"/>
              <w:rPr>
                <w:color w:val="auto"/>
                <w:sz w:val="2"/>
                <w:szCs w:val="2"/>
                <w:highlight w:val="none"/>
              </w:rPr>
            </w:pPr>
          </w:p>
        </w:tc>
      </w:tr>
      <w:tr w14:paraId="193D2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094E9688">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732E1F87">
            <w:pPr>
              <w:pStyle w:val="38"/>
              <w:spacing w:before="63" w:line="240" w:lineRule="auto"/>
              <w:ind w:left="12" w:firstLine="0" w:firstLineChars="0"/>
              <w:jc w:val="center"/>
              <w:rPr>
                <w:color w:val="auto"/>
                <w:highlight w:val="none"/>
              </w:rPr>
            </w:pPr>
            <w:r>
              <w:rPr>
                <w:color w:val="auto"/>
                <w:highlight w:val="none"/>
              </w:rPr>
              <w:t>3</w:t>
            </w:r>
          </w:p>
        </w:tc>
        <w:tc>
          <w:tcPr>
            <w:tcW w:w="3015" w:type="dxa"/>
            <w:tcBorders>
              <w:top w:val="single" w:color="auto" w:sz="4" w:space="0"/>
              <w:left w:val="single" w:color="auto" w:sz="4" w:space="0"/>
              <w:bottom w:val="single" w:color="auto" w:sz="4" w:space="0"/>
              <w:right w:val="single" w:color="auto" w:sz="4" w:space="0"/>
            </w:tcBorders>
          </w:tcPr>
          <w:p w14:paraId="65569C39">
            <w:pPr>
              <w:pStyle w:val="38"/>
              <w:spacing w:before="47" w:line="240" w:lineRule="auto"/>
              <w:ind w:left="907" w:firstLine="0" w:firstLineChars="0"/>
              <w:rPr>
                <w:color w:val="auto"/>
                <w:highlight w:val="none"/>
              </w:rPr>
            </w:pPr>
            <w:r>
              <w:rPr>
                <w:color w:val="auto"/>
                <w:highlight w:val="none"/>
              </w:rPr>
              <w:t>绿色屋顶率</w:t>
            </w:r>
          </w:p>
        </w:tc>
        <w:tc>
          <w:tcPr>
            <w:tcW w:w="1484" w:type="dxa"/>
            <w:tcBorders>
              <w:top w:val="single" w:color="auto" w:sz="4" w:space="0"/>
              <w:left w:val="single" w:color="auto" w:sz="4" w:space="0"/>
              <w:bottom w:val="single" w:color="auto" w:sz="4" w:space="0"/>
              <w:right w:val="single" w:color="auto" w:sz="4" w:space="0"/>
            </w:tcBorders>
            <w:vAlign w:val="center"/>
          </w:tcPr>
          <w:p w14:paraId="59828078">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6D890C3D">
            <w:pPr>
              <w:spacing w:line="240" w:lineRule="auto"/>
              <w:ind w:firstLine="0" w:firstLineChars="0"/>
              <w:rPr>
                <w:color w:val="auto"/>
                <w:sz w:val="2"/>
                <w:szCs w:val="2"/>
                <w:highlight w:val="none"/>
              </w:rPr>
            </w:pPr>
          </w:p>
        </w:tc>
      </w:tr>
      <w:tr w14:paraId="519A1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1D002003">
            <w:pPr>
              <w:pStyle w:val="38"/>
              <w:spacing w:before="47" w:line="240" w:lineRule="auto"/>
              <w:ind w:left="61" w:right="51" w:firstLine="0" w:firstLineChars="0"/>
              <w:jc w:val="center"/>
              <w:rPr>
                <w:color w:val="auto"/>
                <w:highlight w:val="none"/>
              </w:rPr>
            </w:pPr>
          </w:p>
        </w:tc>
        <w:tc>
          <w:tcPr>
            <w:tcW w:w="584" w:type="dxa"/>
            <w:tcBorders>
              <w:top w:val="single" w:color="auto" w:sz="4" w:space="0"/>
              <w:left w:val="single" w:color="auto" w:sz="4" w:space="0"/>
              <w:bottom w:val="single" w:color="auto" w:sz="4" w:space="0"/>
              <w:right w:val="single" w:color="auto" w:sz="4" w:space="0"/>
            </w:tcBorders>
          </w:tcPr>
          <w:p w14:paraId="5BE24437">
            <w:pPr>
              <w:pStyle w:val="38"/>
              <w:spacing w:before="63" w:line="240" w:lineRule="auto"/>
              <w:ind w:left="12" w:firstLine="0" w:firstLineChars="0"/>
              <w:jc w:val="center"/>
              <w:rPr>
                <w:color w:val="auto"/>
                <w:highlight w:val="none"/>
              </w:rPr>
            </w:pPr>
            <w:r>
              <w:rPr>
                <w:color w:val="auto"/>
                <w:highlight w:val="none"/>
              </w:rPr>
              <w:t>4</w:t>
            </w:r>
          </w:p>
        </w:tc>
        <w:tc>
          <w:tcPr>
            <w:tcW w:w="3015" w:type="dxa"/>
            <w:tcBorders>
              <w:top w:val="single" w:color="auto" w:sz="4" w:space="0"/>
              <w:left w:val="single" w:color="auto" w:sz="4" w:space="0"/>
              <w:bottom w:val="single" w:color="auto" w:sz="4" w:space="0"/>
              <w:right w:val="single" w:color="auto" w:sz="4" w:space="0"/>
            </w:tcBorders>
          </w:tcPr>
          <w:p w14:paraId="038396DE">
            <w:pPr>
              <w:pStyle w:val="38"/>
              <w:spacing w:before="47" w:line="240" w:lineRule="auto"/>
              <w:ind w:left="67" w:firstLine="0" w:firstLineChars="0"/>
              <w:rPr>
                <w:color w:val="auto"/>
                <w:highlight w:val="none"/>
              </w:rPr>
            </w:pPr>
            <w:r>
              <w:rPr>
                <w:color w:val="auto"/>
                <w:highlight w:val="none"/>
              </w:rPr>
              <w:t>硬化地面室外可渗透地面率</w:t>
            </w:r>
          </w:p>
        </w:tc>
        <w:tc>
          <w:tcPr>
            <w:tcW w:w="1484" w:type="dxa"/>
            <w:tcBorders>
              <w:top w:val="single" w:color="auto" w:sz="4" w:space="0"/>
              <w:left w:val="single" w:color="auto" w:sz="4" w:space="0"/>
              <w:bottom w:val="single" w:color="auto" w:sz="4" w:space="0"/>
              <w:right w:val="single" w:color="auto" w:sz="4" w:space="0"/>
            </w:tcBorders>
            <w:vAlign w:val="center"/>
          </w:tcPr>
          <w:p w14:paraId="7FAFE1CC">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588CA79C">
            <w:pPr>
              <w:spacing w:line="240" w:lineRule="auto"/>
              <w:ind w:firstLine="0" w:firstLineChars="0"/>
              <w:rPr>
                <w:color w:val="auto"/>
                <w:sz w:val="2"/>
                <w:szCs w:val="2"/>
                <w:highlight w:val="none"/>
              </w:rPr>
            </w:pPr>
          </w:p>
        </w:tc>
      </w:tr>
      <w:tr w14:paraId="3ACB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tcPr>
          <w:p w14:paraId="57A2998D">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5B8D0DD0">
            <w:pPr>
              <w:pStyle w:val="38"/>
              <w:spacing w:before="62" w:line="240" w:lineRule="auto"/>
              <w:ind w:left="12" w:firstLine="0" w:firstLineChars="0"/>
              <w:jc w:val="center"/>
              <w:rPr>
                <w:color w:val="auto"/>
                <w:highlight w:val="none"/>
              </w:rPr>
            </w:pPr>
            <w:r>
              <w:rPr>
                <w:color w:val="auto"/>
                <w:highlight w:val="none"/>
              </w:rPr>
              <w:t>5</w:t>
            </w:r>
          </w:p>
        </w:tc>
        <w:tc>
          <w:tcPr>
            <w:tcW w:w="3015" w:type="dxa"/>
            <w:tcBorders>
              <w:top w:val="single" w:color="auto" w:sz="4" w:space="0"/>
              <w:left w:val="single" w:color="auto" w:sz="4" w:space="0"/>
              <w:bottom w:val="single" w:color="auto" w:sz="4" w:space="0"/>
              <w:right w:val="single" w:color="auto" w:sz="4" w:space="0"/>
            </w:tcBorders>
          </w:tcPr>
          <w:p w14:paraId="1DCF879D">
            <w:pPr>
              <w:pStyle w:val="38"/>
              <w:spacing w:before="46" w:line="240" w:lineRule="auto"/>
              <w:ind w:left="907" w:firstLine="0" w:firstLineChars="0"/>
              <w:rPr>
                <w:color w:val="auto"/>
                <w:highlight w:val="none"/>
              </w:rPr>
            </w:pPr>
            <w:r>
              <w:rPr>
                <w:color w:val="auto"/>
                <w:highlight w:val="none"/>
              </w:rPr>
              <w:t>透水铺装率</w:t>
            </w:r>
          </w:p>
        </w:tc>
        <w:tc>
          <w:tcPr>
            <w:tcW w:w="1484" w:type="dxa"/>
            <w:tcBorders>
              <w:top w:val="single" w:color="auto" w:sz="4" w:space="0"/>
              <w:left w:val="single" w:color="auto" w:sz="4" w:space="0"/>
              <w:bottom w:val="single" w:color="auto" w:sz="4" w:space="0"/>
              <w:right w:val="single" w:color="auto" w:sz="4" w:space="0"/>
            </w:tcBorders>
            <w:vAlign w:val="center"/>
          </w:tcPr>
          <w:p w14:paraId="190E0853">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4EEC7719">
            <w:pPr>
              <w:spacing w:line="240" w:lineRule="auto"/>
              <w:ind w:firstLine="0" w:firstLineChars="0"/>
              <w:rPr>
                <w:color w:val="auto"/>
                <w:sz w:val="2"/>
                <w:szCs w:val="2"/>
                <w:highlight w:val="none"/>
              </w:rPr>
            </w:pPr>
          </w:p>
        </w:tc>
      </w:tr>
      <w:tr w14:paraId="45FE5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6402EAA3">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48C49770">
            <w:pPr>
              <w:pStyle w:val="38"/>
              <w:spacing w:before="63" w:line="240" w:lineRule="auto"/>
              <w:ind w:left="12" w:firstLine="0" w:firstLineChars="0"/>
              <w:jc w:val="center"/>
              <w:rPr>
                <w:color w:val="auto"/>
                <w:highlight w:val="none"/>
              </w:rPr>
            </w:pPr>
            <w:r>
              <w:rPr>
                <w:color w:val="auto"/>
                <w:highlight w:val="none"/>
              </w:rPr>
              <w:t>6</w:t>
            </w:r>
          </w:p>
        </w:tc>
        <w:tc>
          <w:tcPr>
            <w:tcW w:w="3015" w:type="dxa"/>
            <w:tcBorders>
              <w:top w:val="single" w:color="auto" w:sz="4" w:space="0"/>
              <w:left w:val="single" w:color="auto" w:sz="4" w:space="0"/>
              <w:bottom w:val="single" w:color="auto" w:sz="4" w:space="0"/>
              <w:right w:val="single" w:color="auto" w:sz="4" w:space="0"/>
            </w:tcBorders>
          </w:tcPr>
          <w:p w14:paraId="1B4D135A">
            <w:pPr>
              <w:pStyle w:val="38"/>
              <w:spacing w:before="47" w:line="240" w:lineRule="auto"/>
              <w:ind w:left="307" w:firstLine="0" w:firstLineChars="0"/>
              <w:rPr>
                <w:color w:val="auto"/>
                <w:highlight w:val="none"/>
              </w:rPr>
            </w:pPr>
            <w:r>
              <w:rPr>
                <w:color w:val="auto"/>
                <w:highlight w:val="none"/>
              </w:rPr>
              <w:t>单位硬化面积调蓄容积</w:t>
            </w:r>
          </w:p>
        </w:tc>
        <w:tc>
          <w:tcPr>
            <w:tcW w:w="1484" w:type="dxa"/>
            <w:tcBorders>
              <w:top w:val="single" w:color="auto" w:sz="4" w:space="0"/>
              <w:left w:val="single" w:color="auto" w:sz="4" w:space="0"/>
              <w:bottom w:val="single" w:color="auto" w:sz="4" w:space="0"/>
              <w:right w:val="single" w:color="auto" w:sz="4" w:space="0"/>
            </w:tcBorders>
            <w:vAlign w:val="center"/>
          </w:tcPr>
          <w:p w14:paraId="5687D03B">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3EF157DE">
            <w:pPr>
              <w:spacing w:line="240" w:lineRule="auto"/>
              <w:ind w:firstLine="0" w:firstLineChars="0"/>
              <w:rPr>
                <w:color w:val="auto"/>
                <w:sz w:val="2"/>
                <w:szCs w:val="2"/>
                <w:highlight w:val="none"/>
              </w:rPr>
            </w:pPr>
          </w:p>
        </w:tc>
      </w:tr>
      <w:tr w14:paraId="1C7B7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76283F50">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5ACEEDFB">
            <w:pPr>
              <w:pStyle w:val="38"/>
              <w:spacing w:before="63" w:line="240" w:lineRule="auto"/>
              <w:ind w:left="12" w:firstLine="0" w:firstLineChars="0"/>
              <w:jc w:val="center"/>
              <w:rPr>
                <w:color w:val="auto"/>
                <w:highlight w:val="none"/>
              </w:rPr>
            </w:pPr>
            <w:r>
              <w:rPr>
                <w:color w:val="auto"/>
                <w:highlight w:val="none"/>
              </w:rPr>
              <w:t>7</w:t>
            </w:r>
          </w:p>
        </w:tc>
        <w:tc>
          <w:tcPr>
            <w:tcW w:w="3015" w:type="dxa"/>
            <w:tcBorders>
              <w:top w:val="single" w:color="auto" w:sz="4" w:space="0"/>
              <w:left w:val="single" w:color="auto" w:sz="4" w:space="0"/>
              <w:bottom w:val="single" w:color="auto" w:sz="4" w:space="0"/>
              <w:right w:val="single" w:color="auto" w:sz="4" w:space="0"/>
            </w:tcBorders>
          </w:tcPr>
          <w:p w14:paraId="26190CA8">
            <w:pPr>
              <w:pStyle w:val="38"/>
              <w:spacing w:before="47" w:line="240" w:lineRule="auto"/>
              <w:ind w:left="787" w:firstLine="0" w:firstLineChars="0"/>
              <w:rPr>
                <w:color w:val="auto"/>
                <w:highlight w:val="none"/>
              </w:rPr>
            </w:pPr>
            <w:r>
              <w:rPr>
                <w:color w:val="auto"/>
                <w:highlight w:val="none"/>
              </w:rPr>
              <w:t>下沉式绿地率</w:t>
            </w:r>
          </w:p>
        </w:tc>
        <w:tc>
          <w:tcPr>
            <w:tcW w:w="1484" w:type="dxa"/>
            <w:tcBorders>
              <w:top w:val="single" w:color="auto" w:sz="4" w:space="0"/>
              <w:left w:val="single" w:color="auto" w:sz="4" w:space="0"/>
              <w:bottom w:val="single" w:color="auto" w:sz="4" w:space="0"/>
              <w:right w:val="single" w:color="auto" w:sz="4" w:space="0"/>
            </w:tcBorders>
            <w:vAlign w:val="center"/>
          </w:tcPr>
          <w:p w14:paraId="4E4DA6D5">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4CD834E4">
            <w:pPr>
              <w:spacing w:line="240" w:lineRule="auto"/>
              <w:ind w:firstLine="0" w:firstLineChars="0"/>
              <w:rPr>
                <w:color w:val="auto"/>
                <w:sz w:val="2"/>
                <w:szCs w:val="2"/>
                <w:highlight w:val="none"/>
              </w:rPr>
            </w:pPr>
          </w:p>
        </w:tc>
      </w:tr>
      <w:tr w14:paraId="33824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restart"/>
            <w:tcBorders>
              <w:top w:val="single" w:color="auto" w:sz="4" w:space="0"/>
              <w:left w:val="single" w:color="auto" w:sz="4" w:space="0"/>
              <w:bottom w:val="single" w:color="auto" w:sz="4" w:space="0"/>
              <w:right w:val="single" w:color="auto" w:sz="4" w:space="0"/>
            </w:tcBorders>
            <w:vAlign w:val="center"/>
          </w:tcPr>
          <w:p w14:paraId="2C8E7B55">
            <w:pPr>
              <w:pStyle w:val="38"/>
              <w:spacing w:before="47" w:line="240" w:lineRule="auto"/>
              <w:ind w:left="61" w:right="51" w:firstLine="0" w:firstLineChars="0"/>
              <w:jc w:val="center"/>
              <w:rPr>
                <w:color w:val="auto"/>
                <w:highlight w:val="none"/>
              </w:rPr>
            </w:pPr>
            <w:r>
              <w:rPr>
                <w:rFonts w:eastAsia="Times New Roman"/>
                <w:color w:val="auto"/>
                <w:highlight w:val="none"/>
              </w:rPr>
              <w:t>□</w:t>
            </w:r>
            <w:r>
              <w:rPr>
                <w:color w:val="auto"/>
                <w:highlight w:val="none"/>
              </w:rPr>
              <w:t>公园绿地</w:t>
            </w:r>
          </w:p>
        </w:tc>
        <w:tc>
          <w:tcPr>
            <w:tcW w:w="584" w:type="dxa"/>
            <w:tcBorders>
              <w:top w:val="single" w:color="auto" w:sz="4" w:space="0"/>
              <w:left w:val="single" w:color="auto" w:sz="4" w:space="0"/>
              <w:bottom w:val="single" w:color="auto" w:sz="4" w:space="0"/>
              <w:right w:val="single" w:color="auto" w:sz="4" w:space="0"/>
            </w:tcBorders>
          </w:tcPr>
          <w:p w14:paraId="4654D7DB">
            <w:pPr>
              <w:pStyle w:val="38"/>
              <w:spacing w:before="62" w:line="240" w:lineRule="auto"/>
              <w:ind w:left="12" w:firstLine="0" w:firstLineChars="0"/>
              <w:jc w:val="center"/>
              <w:rPr>
                <w:color w:val="auto"/>
                <w:highlight w:val="none"/>
              </w:rPr>
            </w:pPr>
            <w:r>
              <w:rPr>
                <w:color w:val="auto"/>
                <w:highlight w:val="none"/>
              </w:rPr>
              <w:t>1</w:t>
            </w:r>
          </w:p>
        </w:tc>
        <w:tc>
          <w:tcPr>
            <w:tcW w:w="3015" w:type="dxa"/>
            <w:tcBorders>
              <w:top w:val="single" w:color="auto" w:sz="4" w:space="0"/>
              <w:left w:val="single" w:color="auto" w:sz="4" w:space="0"/>
              <w:bottom w:val="single" w:color="auto" w:sz="4" w:space="0"/>
              <w:right w:val="single" w:color="auto" w:sz="4" w:space="0"/>
            </w:tcBorders>
          </w:tcPr>
          <w:p w14:paraId="7B8C7716">
            <w:pPr>
              <w:pStyle w:val="38"/>
              <w:spacing w:before="46" w:line="240" w:lineRule="auto"/>
              <w:ind w:left="547" w:firstLine="0" w:firstLineChars="0"/>
              <w:rPr>
                <w:color w:val="auto"/>
                <w:highlight w:val="none"/>
              </w:rPr>
            </w:pPr>
            <w:r>
              <w:rPr>
                <w:color w:val="auto"/>
                <w:highlight w:val="none"/>
              </w:rPr>
              <w:t>年径流总量控制率</w:t>
            </w:r>
          </w:p>
        </w:tc>
        <w:tc>
          <w:tcPr>
            <w:tcW w:w="1484" w:type="dxa"/>
            <w:tcBorders>
              <w:top w:val="single" w:color="auto" w:sz="4" w:space="0"/>
              <w:left w:val="single" w:color="auto" w:sz="4" w:space="0"/>
              <w:bottom w:val="single" w:color="auto" w:sz="4" w:space="0"/>
              <w:right w:val="single" w:color="auto" w:sz="4" w:space="0"/>
            </w:tcBorders>
            <w:vAlign w:val="center"/>
          </w:tcPr>
          <w:p w14:paraId="7D224CCB">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2D6D0615">
            <w:pPr>
              <w:spacing w:line="240" w:lineRule="auto"/>
              <w:ind w:firstLine="0" w:firstLineChars="0"/>
              <w:rPr>
                <w:color w:val="auto"/>
                <w:sz w:val="2"/>
                <w:szCs w:val="2"/>
                <w:highlight w:val="none"/>
              </w:rPr>
            </w:pPr>
          </w:p>
        </w:tc>
      </w:tr>
      <w:tr w14:paraId="78AE6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35B326B2">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3AFCDB2E">
            <w:pPr>
              <w:pStyle w:val="38"/>
              <w:spacing w:before="63" w:line="240" w:lineRule="auto"/>
              <w:ind w:left="12" w:firstLine="0" w:firstLineChars="0"/>
              <w:jc w:val="center"/>
              <w:rPr>
                <w:color w:val="auto"/>
                <w:highlight w:val="none"/>
              </w:rPr>
            </w:pPr>
            <w:r>
              <w:rPr>
                <w:color w:val="auto"/>
                <w:highlight w:val="none"/>
              </w:rPr>
              <w:t>2</w:t>
            </w:r>
          </w:p>
        </w:tc>
        <w:tc>
          <w:tcPr>
            <w:tcW w:w="3015" w:type="dxa"/>
            <w:tcBorders>
              <w:top w:val="single" w:color="auto" w:sz="4" w:space="0"/>
              <w:left w:val="single" w:color="auto" w:sz="4" w:space="0"/>
              <w:bottom w:val="single" w:color="auto" w:sz="4" w:space="0"/>
              <w:right w:val="single" w:color="auto" w:sz="4" w:space="0"/>
            </w:tcBorders>
          </w:tcPr>
          <w:p w14:paraId="259C0A04">
            <w:pPr>
              <w:pStyle w:val="38"/>
              <w:spacing w:before="47" w:line="240" w:lineRule="auto"/>
              <w:ind w:left="907" w:firstLine="0" w:firstLineChars="0"/>
              <w:rPr>
                <w:color w:val="auto"/>
                <w:highlight w:val="none"/>
              </w:rPr>
            </w:pPr>
            <w:r>
              <w:rPr>
                <w:color w:val="auto"/>
                <w:highlight w:val="none"/>
              </w:rPr>
              <w:t>透水铺装率</w:t>
            </w:r>
          </w:p>
        </w:tc>
        <w:tc>
          <w:tcPr>
            <w:tcW w:w="1484" w:type="dxa"/>
            <w:tcBorders>
              <w:top w:val="single" w:color="auto" w:sz="4" w:space="0"/>
              <w:left w:val="single" w:color="auto" w:sz="4" w:space="0"/>
              <w:bottom w:val="single" w:color="auto" w:sz="4" w:space="0"/>
              <w:right w:val="single" w:color="auto" w:sz="4" w:space="0"/>
            </w:tcBorders>
            <w:vAlign w:val="center"/>
          </w:tcPr>
          <w:p w14:paraId="5794D1B3">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4B313121">
            <w:pPr>
              <w:spacing w:line="240" w:lineRule="auto"/>
              <w:ind w:firstLine="0" w:firstLineChars="0"/>
              <w:rPr>
                <w:color w:val="auto"/>
                <w:sz w:val="2"/>
                <w:szCs w:val="2"/>
                <w:highlight w:val="none"/>
              </w:rPr>
            </w:pPr>
          </w:p>
        </w:tc>
      </w:tr>
      <w:tr w14:paraId="57240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60EAB4B7">
            <w:pPr>
              <w:pStyle w:val="38"/>
              <w:spacing w:before="47" w:line="240" w:lineRule="auto"/>
              <w:ind w:left="61" w:right="51" w:firstLine="0" w:firstLineChars="0"/>
              <w:jc w:val="center"/>
              <w:rPr>
                <w:color w:val="auto"/>
                <w:highlight w:val="none"/>
              </w:rPr>
            </w:pPr>
          </w:p>
        </w:tc>
        <w:tc>
          <w:tcPr>
            <w:tcW w:w="584" w:type="dxa"/>
            <w:tcBorders>
              <w:top w:val="single" w:color="auto" w:sz="4" w:space="0"/>
              <w:left w:val="single" w:color="auto" w:sz="4" w:space="0"/>
              <w:bottom w:val="single" w:color="auto" w:sz="4" w:space="0"/>
              <w:right w:val="single" w:color="auto" w:sz="4" w:space="0"/>
            </w:tcBorders>
          </w:tcPr>
          <w:p w14:paraId="270C609F">
            <w:pPr>
              <w:pStyle w:val="38"/>
              <w:spacing w:before="63" w:line="240" w:lineRule="auto"/>
              <w:ind w:left="12" w:firstLine="0" w:firstLineChars="0"/>
              <w:jc w:val="center"/>
              <w:rPr>
                <w:color w:val="auto"/>
                <w:highlight w:val="none"/>
              </w:rPr>
            </w:pPr>
            <w:r>
              <w:rPr>
                <w:color w:val="auto"/>
                <w:highlight w:val="none"/>
              </w:rPr>
              <w:t>3</w:t>
            </w:r>
          </w:p>
        </w:tc>
        <w:tc>
          <w:tcPr>
            <w:tcW w:w="3015" w:type="dxa"/>
            <w:tcBorders>
              <w:top w:val="single" w:color="auto" w:sz="4" w:space="0"/>
              <w:left w:val="single" w:color="auto" w:sz="4" w:space="0"/>
              <w:bottom w:val="single" w:color="auto" w:sz="4" w:space="0"/>
              <w:right w:val="single" w:color="auto" w:sz="4" w:space="0"/>
            </w:tcBorders>
          </w:tcPr>
          <w:p w14:paraId="5D8FFCD7">
            <w:pPr>
              <w:pStyle w:val="38"/>
              <w:spacing w:before="47" w:line="240" w:lineRule="auto"/>
              <w:ind w:left="187" w:firstLine="0" w:firstLineChars="0"/>
              <w:rPr>
                <w:color w:val="auto"/>
                <w:highlight w:val="none"/>
              </w:rPr>
            </w:pPr>
            <w:r>
              <w:rPr>
                <w:color w:val="auto"/>
                <w:highlight w:val="none"/>
              </w:rPr>
              <w:t>绿地系统雨水资源利用率</w:t>
            </w:r>
          </w:p>
        </w:tc>
        <w:tc>
          <w:tcPr>
            <w:tcW w:w="1484" w:type="dxa"/>
            <w:tcBorders>
              <w:top w:val="single" w:color="auto" w:sz="4" w:space="0"/>
              <w:left w:val="single" w:color="auto" w:sz="4" w:space="0"/>
              <w:bottom w:val="single" w:color="auto" w:sz="4" w:space="0"/>
              <w:right w:val="single" w:color="auto" w:sz="4" w:space="0"/>
            </w:tcBorders>
            <w:vAlign w:val="center"/>
          </w:tcPr>
          <w:p w14:paraId="60375948">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2AF4ECE5">
            <w:pPr>
              <w:spacing w:line="240" w:lineRule="auto"/>
              <w:ind w:firstLine="0" w:firstLineChars="0"/>
              <w:rPr>
                <w:color w:val="auto"/>
                <w:sz w:val="2"/>
                <w:szCs w:val="2"/>
                <w:highlight w:val="none"/>
              </w:rPr>
            </w:pPr>
          </w:p>
        </w:tc>
      </w:tr>
      <w:tr w14:paraId="501CC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tcPr>
          <w:p w14:paraId="7AC40A42">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24DECC05">
            <w:pPr>
              <w:pStyle w:val="38"/>
              <w:spacing w:before="62" w:line="240" w:lineRule="auto"/>
              <w:ind w:left="12" w:firstLine="0" w:firstLineChars="0"/>
              <w:jc w:val="center"/>
              <w:rPr>
                <w:color w:val="auto"/>
                <w:highlight w:val="none"/>
              </w:rPr>
            </w:pPr>
            <w:r>
              <w:rPr>
                <w:color w:val="auto"/>
                <w:highlight w:val="none"/>
              </w:rPr>
              <w:t>4</w:t>
            </w:r>
          </w:p>
        </w:tc>
        <w:tc>
          <w:tcPr>
            <w:tcW w:w="3015" w:type="dxa"/>
            <w:tcBorders>
              <w:top w:val="single" w:color="auto" w:sz="4" w:space="0"/>
              <w:left w:val="single" w:color="auto" w:sz="4" w:space="0"/>
              <w:bottom w:val="single" w:color="auto" w:sz="4" w:space="0"/>
              <w:right w:val="single" w:color="auto" w:sz="4" w:space="0"/>
            </w:tcBorders>
          </w:tcPr>
          <w:p w14:paraId="568C3F11">
            <w:pPr>
              <w:pStyle w:val="38"/>
              <w:spacing w:before="46" w:line="240" w:lineRule="auto"/>
              <w:ind w:left="307" w:firstLine="0" w:firstLineChars="0"/>
              <w:rPr>
                <w:color w:val="auto"/>
                <w:highlight w:val="none"/>
              </w:rPr>
            </w:pPr>
            <w:r>
              <w:rPr>
                <w:color w:val="auto"/>
                <w:highlight w:val="none"/>
              </w:rPr>
              <w:t>单位硬化面积调蓄容积</w:t>
            </w:r>
          </w:p>
        </w:tc>
        <w:tc>
          <w:tcPr>
            <w:tcW w:w="1484" w:type="dxa"/>
            <w:tcBorders>
              <w:top w:val="single" w:color="auto" w:sz="4" w:space="0"/>
              <w:left w:val="single" w:color="auto" w:sz="4" w:space="0"/>
              <w:bottom w:val="single" w:color="auto" w:sz="4" w:space="0"/>
              <w:right w:val="single" w:color="auto" w:sz="4" w:space="0"/>
            </w:tcBorders>
            <w:vAlign w:val="center"/>
          </w:tcPr>
          <w:p w14:paraId="78CD0C75">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7ACC0354">
            <w:pPr>
              <w:spacing w:line="240" w:lineRule="auto"/>
              <w:ind w:firstLine="0" w:firstLineChars="0"/>
              <w:rPr>
                <w:color w:val="auto"/>
                <w:sz w:val="2"/>
                <w:szCs w:val="2"/>
                <w:highlight w:val="none"/>
              </w:rPr>
            </w:pPr>
          </w:p>
        </w:tc>
      </w:tr>
      <w:tr w14:paraId="507D4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056A4B24">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78011D85">
            <w:pPr>
              <w:pStyle w:val="38"/>
              <w:spacing w:before="63" w:line="240" w:lineRule="auto"/>
              <w:ind w:left="12" w:firstLine="0" w:firstLineChars="0"/>
              <w:jc w:val="center"/>
              <w:rPr>
                <w:color w:val="auto"/>
                <w:highlight w:val="none"/>
              </w:rPr>
            </w:pPr>
            <w:r>
              <w:rPr>
                <w:color w:val="auto"/>
                <w:highlight w:val="none"/>
              </w:rPr>
              <w:t>5</w:t>
            </w:r>
          </w:p>
        </w:tc>
        <w:tc>
          <w:tcPr>
            <w:tcW w:w="3015" w:type="dxa"/>
            <w:tcBorders>
              <w:top w:val="single" w:color="auto" w:sz="4" w:space="0"/>
              <w:left w:val="single" w:color="auto" w:sz="4" w:space="0"/>
              <w:bottom w:val="single" w:color="auto" w:sz="4" w:space="0"/>
              <w:right w:val="single" w:color="auto" w:sz="4" w:space="0"/>
            </w:tcBorders>
          </w:tcPr>
          <w:p w14:paraId="03915536">
            <w:pPr>
              <w:pStyle w:val="38"/>
              <w:spacing w:before="47" w:line="240" w:lineRule="auto"/>
              <w:ind w:left="67" w:firstLine="0" w:firstLineChars="0"/>
              <w:rPr>
                <w:color w:val="auto"/>
                <w:highlight w:val="none"/>
              </w:rPr>
            </w:pPr>
            <w:r>
              <w:rPr>
                <w:color w:val="auto"/>
                <w:highlight w:val="none"/>
              </w:rPr>
              <w:t>下沉式绿地率（除公园外）</w:t>
            </w:r>
          </w:p>
        </w:tc>
        <w:tc>
          <w:tcPr>
            <w:tcW w:w="1484" w:type="dxa"/>
            <w:tcBorders>
              <w:top w:val="single" w:color="auto" w:sz="4" w:space="0"/>
              <w:left w:val="single" w:color="auto" w:sz="4" w:space="0"/>
              <w:bottom w:val="single" w:color="auto" w:sz="4" w:space="0"/>
              <w:right w:val="single" w:color="auto" w:sz="4" w:space="0"/>
            </w:tcBorders>
            <w:vAlign w:val="center"/>
          </w:tcPr>
          <w:p w14:paraId="522CCFEC">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16B898C6">
            <w:pPr>
              <w:spacing w:line="240" w:lineRule="auto"/>
              <w:ind w:firstLine="0" w:firstLineChars="0"/>
              <w:rPr>
                <w:color w:val="auto"/>
                <w:sz w:val="2"/>
                <w:szCs w:val="2"/>
                <w:highlight w:val="none"/>
              </w:rPr>
            </w:pPr>
          </w:p>
        </w:tc>
      </w:tr>
      <w:tr w14:paraId="6AF87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restart"/>
            <w:tcBorders>
              <w:top w:val="single" w:color="auto" w:sz="4" w:space="0"/>
              <w:left w:val="single" w:color="auto" w:sz="4" w:space="0"/>
              <w:bottom w:val="single" w:color="auto" w:sz="4" w:space="0"/>
              <w:right w:val="single" w:color="auto" w:sz="4" w:space="0"/>
            </w:tcBorders>
            <w:vAlign w:val="center"/>
          </w:tcPr>
          <w:p w14:paraId="15B642A7">
            <w:pPr>
              <w:pStyle w:val="38"/>
              <w:spacing w:before="1" w:line="240" w:lineRule="auto"/>
              <w:ind w:firstLine="0" w:firstLineChars="0"/>
              <w:jc w:val="center"/>
              <w:rPr>
                <w:color w:val="auto"/>
                <w:sz w:val="20"/>
                <w:highlight w:val="none"/>
              </w:rPr>
            </w:pPr>
          </w:p>
          <w:p w14:paraId="71E312AB">
            <w:pPr>
              <w:pStyle w:val="38"/>
              <w:spacing w:line="240" w:lineRule="auto"/>
              <w:ind w:left="81" w:firstLine="0" w:firstLineChars="0"/>
              <w:jc w:val="center"/>
              <w:rPr>
                <w:color w:val="auto"/>
                <w:highlight w:val="none"/>
              </w:rPr>
            </w:pPr>
            <w:r>
              <w:rPr>
                <w:rFonts w:eastAsia="Times New Roman"/>
                <w:color w:val="auto"/>
                <w:highlight w:val="none"/>
              </w:rPr>
              <w:sym w:font="Wingdings 2" w:char="0052"/>
            </w:r>
            <w:r>
              <w:rPr>
                <w:color w:val="auto"/>
                <w:highlight w:val="none"/>
              </w:rPr>
              <w:t>道路广场</w:t>
            </w:r>
          </w:p>
        </w:tc>
        <w:tc>
          <w:tcPr>
            <w:tcW w:w="584" w:type="dxa"/>
            <w:tcBorders>
              <w:top w:val="single" w:color="auto" w:sz="4" w:space="0"/>
              <w:left w:val="single" w:color="auto" w:sz="4" w:space="0"/>
              <w:bottom w:val="single" w:color="auto" w:sz="4" w:space="0"/>
              <w:right w:val="single" w:color="auto" w:sz="4" w:space="0"/>
            </w:tcBorders>
          </w:tcPr>
          <w:p w14:paraId="577D3701">
            <w:pPr>
              <w:pStyle w:val="38"/>
              <w:spacing w:before="63" w:line="240" w:lineRule="auto"/>
              <w:ind w:left="12" w:firstLine="0" w:firstLineChars="0"/>
              <w:jc w:val="center"/>
              <w:rPr>
                <w:color w:val="auto"/>
                <w:highlight w:val="none"/>
              </w:rPr>
            </w:pPr>
            <w:r>
              <w:rPr>
                <w:color w:val="auto"/>
                <w:highlight w:val="none"/>
              </w:rPr>
              <w:t>1</w:t>
            </w:r>
          </w:p>
        </w:tc>
        <w:tc>
          <w:tcPr>
            <w:tcW w:w="3015" w:type="dxa"/>
            <w:tcBorders>
              <w:top w:val="single" w:color="auto" w:sz="4" w:space="0"/>
              <w:left w:val="single" w:color="auto" w:sz="4" w:space="0"/>
              <w:bottom w:val="single" w:color="auto" w:sz="4" w:space="0"/>
              <w:right w:val="single" w:color="auto" w:sz="4" w:space="0"/>
            </w:tcBorders>
          </w:tcPr>
          <w:p w14:paraId="73E54D8D">
            <w:pPr>
              <w:pStyle w:val="38"/>
              <w:spacing w:before="47" w:line="240" w:lineRule="auto"/>
              <w:ind w:left="547" w:firstLine="0" w:firstLineChars="0"/>
              <w:rPr>
                <w:color w:val="auto"/>
                <w:highlight w:val="none"/>
              </w:rPr>
            </w:pPr>
            <w:r>
              <w:rPr>
                <w:color w:val="auto"/>
                <w:highlight w:val="none"/>
              </w:rPr>
              <w:t>年径流总量控制率</w:t>
            </w:r>
          </w:p>
        </w:tc>
        <w:tc>
          <w:tcPr>
            <w:tcW w:w="1484" w:type="dxa"/>
            <w:tcBorders>
              <w:top w:val="single" w:color="auto" w:sz="4" w:space="0"/>
              <w:left w:val="single" w:color="auto" w:sz="4" w:space="0"/>
              <w:bottom w:val="single" w:color="auto" w:sz="4" w:space="0"/>
              <w:right w:val="single" w:color="auto" w:sz="4" w:space="0"/>
            </w:tcBorders>
            <w:vAlign w:val="center"/>
          </w:tcPr>
          <w:p w14:paraId="63D0CF7F">
            <w:pPr>
              <w:pStyle w:val="38"/>
              <w:spacing w:line="240" w:lineRule="auto"/>
              <w:ind w:firstLine="0" w:firstLineChars="0"/>
              <w:jc w:val="center"/>
              <w:rPr>
                <w:rFonts w:eastAsiaTheme="minorEastAsia"/>
                <w:color w:val="auto"/>
                <w:sz w:val="22"/>
                <w:highlight w:val="none"/>
              </w:rPr>
            </w:pPr>
            <w:r>
              <w:rPr>
                <w:rFonts w:hint="eastAsia"/>
                <w:color w:val="auto"/>
                <w:sz w:val="22"/>
                <w:highlight w:val="none"/>
              </w:rPr>
              <w:t>≥70%</w:t>
            </w:r>
          </w:p>
        </w:tc>
        <w:tc>
          <w:tcPr>
            <w:tcW w:w="2074" w:type="dxa"/>
            <w:vMerge w:val="continue"/>
            <w:tcBorders>
              <w:top w:val="single" w:color="auto" w:sz="4" w:space="0"/>
              <w:left w:val="single" w:color="auto" w:sz="4" w:space="0"/>
              <w:bottom w:val="single" w:color="auto" w:sz="4" w:space="0"/>
              <w:right w:val="single" w:color="auto" w:sz="4" w:space="0"/>
            </w:tcBorders>
          </w:tcPr>
          <w:p w14:paraId="35FD8643">
            <w:pPr>
              <w:spacing w:line="240" w:lineRule="auto"/>
              <w:ind w:firstLine="0" w:firstLineChars="0"/>
              <w:rPr>
                <w:color w:val="auto"/>
                <w:sz w:val="2"/>
                <w:szCs w:val="2"/>
                <w:highlight w:val="none"/>
              </w:rPr>
            </w:pPr>
          </w:p>
        </w:tc>
      </w:tr>
      <w:tr w14:paraId="40C50C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2E2C61EF">
            <w:pPr>
              <w:pStyle w:val="38"/>
              <w:spacing w:line="240" w:lineRule="auto"/>
              <w:ind w:firstLine="0" w:firstLineChars="0"/>
              <w:jc w:val="center"/>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1B9DB89D">
            <w:pPr>
              <w:pStyle w:val="38"/>
              <w:spacing w:before="62" w:line="240" w:lineRule="auto"/>
              <w:ind w:left="12" w:firstLine="0" w:firstLineChars="0"/>
              <w:jc w:val="center"/>
              <w:rPr>
                <w:color w:val="auto"/>
                <w:highlight w:val="none"/>
              </w:rPr>
            </w:pPr>
            <w:r>
              <w:rPr>
                <w:color w:val="auto"/>
                <w:highlight w:val="none"/>
              </w:rPr>
              <w:t>2</w:t>
            </w:r>
          </w:p>
        </w:tc>
        <w:tc>
          <w:tcPr>
            <w:tcW w:w="3015" w:type="dxa"/>
            <w:tcBorders>
              <w:top w:val="single" w:color="auto" w:sz="4" w:space="0"/>
              <w:left w:val="single" w:color="auto" w:sz="4" w:space="0"/>
              <w:bottom w:val="single" w:color="auto" w:sz="4" w:space="0"/>
              <w:right w:val="single" w:color="auto" w:sz="4" w:space="0"/>
            </w:tcBorders>
          </w:tcPr>
          <w:p w14:paraId="473EE719">
            <w:pPr>
              <w:pStyle w:val="38"/>
              <w:spacing w:before="46" w:line="240" w:lineRule="auto"/>
              <w:ind w:left="547" w:firstLine="0" w:firstLineChars="0"/>
              <w:rPr>
                <w:color w:val="auto"/>
                <w:highlight w:val="none"/>
              </w:rPr>
            </w:pPr>
            <w:r>
              <w:rPr>
                <w:color w:val="auto"/>
                <w:highlight w:val="none"/>
              </w:rPr>
              <w:t>年径流污染削减率</w:t>
            </w:r>
          </w:p>
        </w:tc>
        <w:tc>
          <w:tcPr>
            <w:tcW w:w="1484" w:type="dxa"/>
            <w:tcBorders>
              <w:top w:val="single" w:color="auto" w:sz="4" w:space="0"/>
              <w:left w:val="single" w:color="auto" w:sz="4" w:space="0"/>
              <w:bottom w:val="single" w:color="auto" w:sz="4" w:space="0"/>
              <w:right w:val="single" w:color="auto" w:sz="4" w:space="0"/>
            </w:tcBorders>
            <w:vAlign w:val="center"/>
          </w:tcPr>
          <w:p w14:paraId="5B765A60">
            <w:pPr>
              <w:pStyle w:val="38"/>
              <w:spacing w:line="240" w:lineRule="auto"/>
              <w:ind w:firstLine="0" w:firstLineChars="0"/>
              <w:jc w:val="center"/>
              <w:rPr>
                <w:rFonts w:eastAsiaTheme="minorEastAsia"/>
                <w:color w:val="auto"/>
                <w:sz w:val="22"/>
                <w:highlight w:val="none"/>
              </w:rPr>
            </w:pPr>
            <w:r>
              <w:rPr>
                <w:rFonts w:hint="eastAsia"/>
                <w:color w:val="auto"/>
                <w:sz w:val="22"/>
                <w:highlight w:val="none"/>
              </w:rPr>
              <w:t>≥50%</w:t>
            </w:r>
          </w:p>
        </w:tc>
        <w:tc>
          <w:tcPr>
            <w:tcW w:w="2074" w:type="dxa"/>
            <w:vMerge w:val="continue"/>
            <w:tcBorders>
              <w:top w:val="single" w:color="auto" w:sz="4" w:space="0"/>
              <w:left w:val="single" w:color="auto" w:sz="4" w:space="0"/>
              <w:bottom w:val="single" w:color="auto" w:sz="4" w:space="0"/>
              <w:right w:val="single" w:color="auto" w:sz="4" w:space="0"/>
            </w:tcBorders>
          </w:tcPr>
          <w:p w14:paraId="7800CE9C">
            <w:pPr>
              <w:spacing w:line="240" w:lineRule="auto"/>
              <w:ind w:firstLine="0" w:firstLineChars="0"/>
              <w:rPr>
                <w:color w:val="auto"/>
                <w:sz w:val="2"/>
                <w:szCs w:val="2"/>
                <w:highlight w:val="none"/>
              </w:rPr>
            </w:pPr>
          </w:p>
        </w:tc>
      </w:tr>
      <w:tr w14:paraId="131FA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009F451A">
            <w:pPr>
              <w:pStyle w:val="38"/>
              <w:spacing w:line="240" w:lineRule="auto"/>
              <w:ind w:firstLine="0" w:firstLineChars="0"/>
              <w:jc w:val="center"/>
              <w:rPr>
                <w:color w:val="auto"/>
                <w:sz w:val="22"/>
                <w:highlight w:val="none"/>
              </w:rPr>
            </w:pPr>
          </w:p>
        </w:tc>
        <w:tc>
          <w:tcPr>
            <w:tcW w:w="584" w:type="dxa"/>
            <w:vMerge w:val="restart"/>
            <w:tcBorders>
              <w:top w:val="single" w:color="auto" w:sz="4" w:space="0"/>
              <w:left w:val="single" w:color="auto" w:sz="4" w:space="0"/>
              <w:bottom w:val="single" w:color="auto" w:sz="4" w:space="0"/>
              <w:right w:val="single" w:color="auto" w:sz="4" w:space="0"/>
            </w:tcBorders>
          </w:tcPr>
          <w:p w14:paraId="29E0CA14">
            <w:pPr>
              <w:pStyle w:val="38"/>
              <w:spacing w:before="3" w:line="240" w:lineRule="auto"/>
              <w:ind w:firstLine="0" w:firstLineChars="0"/>
              <w:rPr>
                <w:color w:val="auto"/>
                <w:sz w:val="18"/>
                <w:highlight w:val="none"/>
              </w:rPr>
            </w:pPr>
          </w:p>
          <w:p w14:paraId="30E0B087">
            <w:pPr>
              <w:pStyle w:val="38"/>
              <w:spacing w:line="240" w:lineRule="auto"/>
              <w:ind w:left="12" w:firstLine="0" w:firstLineChars="0"/>
              <w:jc w:val="center"/>
              <w:rPr>
                <w:color w:val="auto"/>
                <w:highlight w:val="none"/>
              </w:rPr>
            </w:pPr>
            <w:r>
              <w:rPr>
                <w:color w:val="auto"/>
                <w:highlight w:val="none"/>
              </w:rPr>
              <w:t>3</w:t>
            </w:r>
          </w:p>
        </w:tc>
        <w:tc>
          <w:tcPr>
            <w:tcW w:w="3015" w:type="dxa"/>
            <w:tcBorders>
              <w:top w:val="single" w:color="auto" w:sz="4" w:space="0"/>
              <w:left w:val="single" w:color="auto" w:sz="4" w:space="0"/>
              <w:bottom w:val="single" w:color="auto" w:sz="4" w:space="0"/>
              <w:right w:val="single" w:color="auto" w:sz="4" w:space="0"/>
            </w:tcBorders>
          </w:tcPr>
          <w:p w14:paraId="6C93D024">
            <w:pPr>
              <w:pStyle w:val="38"/>
              <w:spacing w:before="47" w:line="240" w:lineRule="auto"/>
              <w:ind w:left="15" w:right="-130" w:firstLine="0" w:firstLineChars="0"/>
              <w:rPr>
                <w:color w:val="auto"/>
                <w:highlight w:val="none"/>
              </w:rPr>
            </w:pPr>
            <w:r>
              <w:rPr>
                <w:color w:val="auto"/>
                <w:spacing w:val="-3"/>
                <w:highlight w:val="none"/>
              </w:rPr>
              <w:t>人行道、自行车道、步行街、</w:t>
            </w:r>
          </w:p>
        </w:tc>
        <w:tc>
          <w:tcPr>
            <w:tcW w:w="1484" w:type="dxa"/>
            <w:vMerge w:val="restart"/>
            <w:tcBorders>
              <w:top w:val="single" w:color="auto" w:sz="4" w:space="0"/>
              <w:left w:val="single" w:color="auto" w:sz="4" w:space="0"/>
              <w:bottom w:val="single" w:color="auto" w:sz="4" w:space="0"/>
              <w:right w:val="single" w:color="auto" w:sz="4" w:space="0"/>
            </w:tcBorders>
            <w:vAlign w:val="center"/>
          </w:tcPr>
          <w:p w14:paraId="79F117E1">
            <w:pPr>
              <w:pStyle w:val="38"/>
              <w:spacing w:line="240" w:lineRule="auto"/>
              <w:ind w:firstLine="0" w:firstLineChars="0"/>
              <w:jc w:val="center"/>
              <w:rPr>
                <w:rFonts w:eastAsiaTheme="minorEastAsia"/>
                <w:color w:val="auto"/>
                <w:sz w:val="22"/>
                <w:highlight w:val="none"/>
              </w:rPr>
            </w:pPr>
            <w:r>
              <w:rPr>
                <w:rFonts w:hint="eastAsia"/>
                <w:color w:val="auto"/>
                <w:sz w:val="22"/>
                <w:highlight w:val="none"/>
              </w:rPr>
              <w:t>≥70%</w:t>
            </w:r>
          </w:p>
        </w:tc>
        <w:tc>
          <w:tcPr>
            <w:tcW w:w="2074" w:type="dxa"/>
            <w:vMerge w:val="continue"/>
            <w:tcBorders>
              <w:top w:val="single" w:color="auto" w:sz="4" w:space="0"/>
              <w:left w:val="single" w:color="auto" w:sz="4" w:space="0"/>
              <w:bottom w:val="single" w:color="auto" w:sz="4" w:space="0"/>
              <w:right w:val="single" w:color="auto" w:sz="4" w:space="0"/>
            </w:tcBorders>
          </w:tcPr>
          <w:p w14:paraId="60F73711">
            <w:pPr>
              <w:spacing w:line="240" w:lineRule="auto"/>
              <w:ind w:firstLine="0" w:firstLineChars="0"/>
              <w:rPr>
                <w:color w:val="auto"/>
                <w:sz w:val="2"/>
                <w:szCs w:val="2"/>
                <w:highlight w:val="none"/>
              </w:rPr>
            </w:pPr>
          </w:p>
        </w:tc>
      </w:tr>
      <w:tr w14:paraId="31A6F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6CFBFBB2">
            <w:pPr>
              <w:pStyle w:val="38"/>
              <w:spacing w:line="240" w:lineRule="auto"/>
              <w:ind w:firstLine="0" w:firstLineChars="0"/>
              <w:jc w:val="center"/>
              <w:rPr>
                <w:color w:val="auto"/>
                <w:sz w:val="22"/>
                <w:highlight w:val="none"/>
              </w:rPr>
            </w:pPr>
          </w:p>
        </w:tc>
        <w:tc>
          <w:tcPr>
            <w:tcW w:w="584" w:type="dxa"/>
            <w:vMerge w:val="continue"/>
            <w:tcBorders>
              <w:top w:val="single" w:color="auto" w:sz="4" w:space="0"/>
              <w:left w:val="single" w:color="auto" w:sz="4" w:space="0"/>
              <w:bottom w:val="single" w:color="auto" w:sz="4" w:space="0"/>
              <w:right w:val="single" w:color="auto" w:sz="4" w:space="0"/>
            </w:tcBorders>
          </w:tcPr>
          <w:p w14:paraId="1408FFB8">
            <w:pPr>
              <w:spacing w:line="240" w:lineRule="auto"/>
              <w:ind w:firstLine="0" w:firstLineChars="0"/>
              <w:rPr>
                <w:color w:val="auto"/>
                <w:sz w:val="2"/>
                <w:szCs w:val="2"/>
                <w:highlight w:val="none"/>
              </w:rPr>
            </w:pPr>
          </w:p>
        </w:tc>
        <w:tc>
          <w:tcPr>
            <w:tcW w:w="3015" w:type="dxa"/>
            <w:tcBorders>
              <w:top w:val="single" w:color="auto" w:sz="4" w:space="0"/>
              <w:left w:val="single" w:color="auto" w:sz="4" w:space="0"/>
              <w:bottom w:val="single" w:color="auto" w:sz="4" w:space="0"/>
              <w:right w:val="single" w:color="auto" w:sz="4" w:space="0"/>
            </w:tcBorders>
          </w:tcPr>
          <w:p w14:paraId="1D91D831">
            <w:pPr>
              <w:pStyle w:val="38"/>
              <w:spacing w:before="11" w:line="240" w:lineRule="auto"/>
              <w:ind w:left="307" w:firstLine="0" w:firstLineChars="0"/>
              <w:rPr>
                <w:color w:val="auto"/>
                <w:highlight w:val="none"/>
              </w:rPr>
            </w:pPr>
            <w:r>
              <w:rPr>
                <w:color w:val="auto"/>
                <w:highlight w:val="none"/>
              </w:rPr>
              <w:t>室外停车场透水铺装率</w:t>
            </w:r>
          </w:p>
        </w:tc>
        <w:tc>
          <w:tcPr>
            <w:tcW w:w="1484" w:type="dxa"/>
            <w:vMerge w:val="continue"/>
            <w:tcBorders>
              <w:top w:val="single" w:color="auto" w:sz="4" w:space="0"/>
              <w:left w:val="single" w:color="auto" w:sz="4" w:space="0"/>
              <w:bottom w:val="single" w:color="auto" w:sz="4" w:space="0"/>
              <w:right w:val="single" w:color="auto" w:sz="4" w:space="0"/>
            </w:tcBorders>
            <w:vAlign w:val="center"/>
          </w:tcPr>
          <w:p w14:paraId="2D5290A2">
            <w:pPr>
              <w:spacing w:line="240" w:lineRule="auto"/>
              <w:ind w:firstLine="0" w:firstLineChars="0"/>
              <w:jc w:val="center"/>
              <w:rPr>
                <w:color w:val="auto"/>
                <w:sz w:val="2"/>
                <w:szCs w:val="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47D81360">
            <w:pPr>
              <w:spacing w:line="240" w:lineRule="auto"/>
              <w:ind w:firstLine="0" w:firstLineChars="0"/>
              <w:rPr>
                <w:color w:val="auto"/>
                <w:sz w:val="2"/>
                <w:szCs w:val="2"/>
                <w:highlight w:val="none"/>
              </w:rPr>
            </w:pPr>
          </w:p>
        </w:tc>
      </w:tr>
      <w:tr w14:paraId="56BE84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6FD61A6A">
            <w:pPr>
              <w:pStyle w:val="38"/>
              <w:spacing w:line="240" w:lineRule="auto"/>
              <w:ind w:left="81" w:firstLine="0" w:firstLineChars="0"/>
              <w:jc w:val="center"/>
              <w:rPr>
                <w:color w:val="auto"/>
                <w:highlight w:val="none"/>
              </w:rPr>
            </w:pPr>
          </w:p>
        </w:tc>
        <w:tc>
          <w:tcPr>
            <w:tcW w:w="584" w:type="dxa"/>
            <w:tcBorders>
              <w:top w:val="single" w:color="auto" w:sz="4" w:space="0"/>
              <w:left w:val="single" w:color="auto" w:sz="4" w:space="0"/>
              <w:bottom w:val="single" w:color="auto" w:sz="4" w:space="0"/>
              <w:right w:val="single" w:color="auto" w:sz="4" w:space="0"/>
            </w:tcBorders>
          </w:tcPr>
          <w:p w14:paraId="148EB04D">
            <w:pPr>
              <w:pStyle w:val="38"/>
              <w:spacing w:before="63" w:line="240" w:lineRule="auto"/>
              <w:ind w:left="12" w:firstLine="0" w:firstLineChars="0"/>
              <w:jc w:val="center"/>
              <w:rPr>
                <w:color w:val="auto"/>
                <w:highlight w:val="none"/>
              </w:rPr>
            </w:pPr>
            <w:r>
              <w:rPr>
                <w:color w:val="auto"/>
                <w:highlight w:val="none"/>
              </w:rPr>
              <w:t>4</w:t>
            </w:r>
          </w:p>
        </w:tc>
        <w:tc>
          <w:tcPr>
            <w:tcW w:w="3015" w:type="dxa"/>
            <w:tcBorders>
              <w:top w:val="single" w:color="auto" w:sz="4" w:space="0"/>
              <w:left w:val="single" w:color="auto" w:sz="4" w:space="0"/>
              <w:bottom w:val="single" w:color="auto" w:sz="4" w:space="0"/>
              <w:right w:val="single" w:color="auto" w:sz="4" w:space="0"/>
            </w:tcBorders>
          </w:tcPr>
          <w:p w14:paraId="07013816">
            <w:pPr>
              <w:pStyle w:val="38"/>
              <w:spacing w:before="47" w:line="240" w:lineRule="auto"/>
              <w:ind w:left="427" w:firstLine="0" w:firstLineChars="0"/>
              <w:rPr>
                <w:color w:val="auto"/>
                <w:highlight w:val="none"/>
              </w:rPr>
            </w:pPr>
            <w:r>
              <w:rPr>
                <w:color w:val="auto"/>
                <w:highlight w:val="none"/>
              </w:rPr>
              <w:t>一般城市道路绿地率</w:t>
            </w:r>
          </w:p>
        </w:tc>
        <w:tc>
          <w:tcPr>
            <w:tcW w:w="1484" w:type="dxa"/>
            <w:tcBorders>
              <w:top w:val="single" w:color="auto" w:sz="4" w:space="0"/>
              <w:left w:val="single" w:color="auto" w:sz="4" w:space="0"/>
              <w:bottom w:val="single" w:color="auto" w:sz="4" w:space="0"/>
              <w:right w:val="single" w:color="auto" w:sz="4" w:space="0"/>
            </w:tcBorders>
            <w:vAlign w:val="center"/>
          </w:tcPr>
          <w:p w14:paraId="2F80D701">
            <w:pPr>
              <w:pStyle w:val="38"/>
              <w:spacing w:line="240" w:lineRule="auto"/>
              <w:ind w:firstLine="0" w:firstLineChars="0"/>
              <w:jc w:val="center"/>
              <w:rPr>
                <w:color w:val="auto"/>
                <w:sz w:val="22"/>
                <w:highlight w:val="none"/>
              </w:rPr>
            </w:pPr>
            <w:r>
              <w:rPr>
                <w:rFonts w:hint="eastAsia"/>
                <w:color w:val="auto"/>
                <w:sz w:val="22"/>
                <w:highlight w:val="none"/>
              </w:rPr>
              <w:t>≥15%</w:t>
            </w:r>
          </w:p>
        </w:tc>
        <w:tc>
          <w:tcPr>
            <w:tcW w:w="2074" w:type="dxa"/>
            <w:vMerge w:val="continue"/>
            <w:tcBorders>
              <w:top w:val="single" w:color="auto" w:sz="4" w:space="0"/>
              <w:left w:val="single" w:color="auto" w:sz="4" w:space="0"/>
              <w:bottom w:val="single" w:color="auto" w:sz="4" w:space="0"/>
              <w:right w:val="single" w:color="auto" w:sz="4" w:space="0"/>
            </w:tcBorders>
          </w:tcPr>
          <w:p w14:paraId="45738771">
            <w:pPr>
              <w:spacing w:line="240" w:lineRule="auto"/>
              <w:ind w:firstLine="0" w:firstLineChars="0"/>
              <w:rPr>
                <w:color w:val="auto"/>
                <w:sz w:val="2"/>
                <w:szCs w:val="2"/>
                <w:highlight w:val="none"/>
              </w:rPr>
            </w:pPr>
          </w:p>
        </w:tc>
      </w:tr>
      <w:tr w14:paraId="16B88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2FAFFC89">
            <w:pPr>
              <w:spacing w:line="240" w:lineRule="auto"/>
              <w:ind w:firstLine="0" w:firstLineChars="0"/>
              <w:jc w:val="center"/>
              <w:rPr>
                <w:color w:val="auto"/>
                <w:sz w:val="2"/>
                <w:szCs w:val="2"/>
                <w:highlight w:val="none"/>
              </w:rPr>
            </w:pPr>
          </w:p>
        </w:tc>
        <w:tc>
          <w:tcPr>
            <w:tcW w:w="584" w:type="dxa"/>
            <w:tcBorders>
              <w:top w:val="single" w:color="auto" w:sz="4" w:space="0"/>
              <w:left w:val="single" w:color="auto" w:sz="4" w:space="0"/>
              <w:bottom w:val="single" w:color="auto" w:sz="4" w:space="0"/>
              <w:right w:val="single" w:color="auto" w:sz="4" w:space="0"/>
            </w:tcBorders>
          </w:tcPr>
          <w:p w14:paraId="2AF342BB">
            <w:pPr>
              <w:pStyle w:val="38"/>
              <w:spacing w:before="63" w:line="240" w:lineRule="auto"/>
              <w:ind w:left="12" w:firstLine="0" w:firstLineChars="0"/>
              <w:jc w:val="center"/>
              <w:rPr>
                <w:color w:val="auto"/>
                <w:highlight w:val="none"/>
              </w:rPr>
            </w:pPr>
            <w:r>
              <w:rPr>
                <w:color w:val="auto"/>
                <w:highlight w:val="none"/>
              </w:rPr>
              <w:t>5</w:t>
            </w:r>
          </w:p>
        </w:tc>
        <w:tc>
          <w:tcPr>
            <w:tcW w:w="3015" w:type="dxa"/>
            <w:tcBorders>
              <w:top w:val="single" w:color="auto" w:sz="4" w:space="0"/>
              <w:left w:val="single" w:color="auto" w:sz="4" w:space="0"/>
              <w:bottom w:val="single" w:color="auto" w:sz="4" w:space="0"/>
              <w:right w:val="single" w:color="auto" w:sz="4" w:space="0"/>
            </w:tcBorders>
          </w:tcPr>
          <w:p w14:paraId="3352C765">
            <w:pPr>
              <w:pStyle w:val="38"/>
              <w:spacing w:before="47" w:line="240" w:lineRule="auto"/>
              <w:ind w:left="667" w:firstLine="0" w:firstLineChars="0"/>
              <w:rPr>
                <w:color w:val="auto"/>
                <w:highlight w:val="none"/>
              </w:rPr>
            </w:pPr>
            <w:r>
              <w:rPr>
                <w:color w:val="auto"/>
                <w:highlight w:val="none"/>
              </w:rPr>
              <w:t>园林道路绿地率</w:t>
            </w:r>
          </w:p>
        </w:tc>
        <w:tc>
          <w:tcPr>
            <w:tcW w:w="1484" w:type="dxa"/>
            <w:tcBorders>
              <w:top w:val="single" w:color="auto" w:sz="4" w:space="0"/>
              <w:left w:val="single" w:color="auto" w:sz="4" w:space="0"/>
              <w:bottom w:val="single" w:color="auto" w:sz="4" w:space="0"/>
              <w:right w:val="single" w:color="auto" w:sz="4" w:space="0"/>
            </w:tcBorders>
            <w:vAlign w:val="center"/>
          </w:tcPr>
          <w:p w14:paraId="62FAE30C">
            <w:pPr>
              <w:pStyle w:val="38"/>
              <w:spacing w:line="240" w:lineRule="auto"/>
              <w:ind w:firstLine="0" w:firstLineChars="0"/>
              <w:jc w:val="center"/>
              <w:rPr>
                <w:rFonts w:eastAsiaTheme="minorEastAsia"/>
                <w:color w:val="auto"/>
                <w:sz w:val="22"/>
                <w:highlight w:val="none"/>
              </w:rPr>
            </w:pPr>
            <w:r>
              <w:rPr>
                <w:rFonts w:hint="eastAsia"/>
                <w:color w:val="auto"/>
                <w:sz w:val="22"/>
                <w:highlight w:val="none"/>
              </w:rPr>
              <w:t>≥30%</w:t>
            </w:r>
          </w:p>
        </w:tc>
        <w:tc>
          <w:tcPr>
            <w:tcW w:w="2074" w:type="dxa"/>
            <w:vMerge w:val="continue"/>
            <w:tcBorders>
              <w:top w:val="single" w:color="auto" w:sz="4" w:space="0"/>
              <w:left w:val="single" w:color="auto" w:sz="4" w:space="0"/>
              <w:bottom w:val="single" w:color="auto" w:sz="4" w:space="0"/>
              <w:right w:val="single" w:color="auto" w:sz="4" w:space="0"/>
            </w:tcBorders>
          </w:tcPr>
          <w:p w14:paraId="424C4DEB">
            <w:pPr>
              <w:spacing w:line="240" w:lineRule="auto"/>
              <w:ind w:firstLine="0" w:firstLineChars="0"/>
              <w:rPr>
                <w:color w:val="auto"/>
                <w:sz w:val="2"/>
                <w:szCs w:val="2"/>
                <w:highlight w:val="none"/>
              </w:rPr>
            </w:pPr>
          </w:p>
        </w:tc>
      </w:tr>
      <w:tr w14:paraId="2E34C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35404037">
            <w:pPr>
              <w:pStyle w:val="38"/>
              <w:spacing w:line="240" w:lineRule="auto"/>
              <w:ind w:firstLine="0" w:firstLineChars="0"/>
              <w:jc w:val="center"/>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0AC3D4AA">
            <w:pPr>
              <w:pStyle w:val="38"/>
              <w:spacing w:before="62" w:line="240" w:lineRule="auto"/>
              <w:ind w:left="12" w:firstLine="0" w:firstLineChars="0"/>
              <w:jc w:val="center"/>
              <w:rPr>
                <w:color w:val="auto"/>
                <w:highlight w:val="none"/>
              </w:rPr>
            </w:pPr>
            <w:r>
              <w:rPr>
                <w:color w:val="auto"/>
                <w:highlight w:val="none"/>
              </w:rPr>
              <w:t>6</w:t>
            </w:r>
          </w:p>
        </w:tc>
        <w:tc>
          <w:tcPr>
            <w:tcW w:w="3015" w:type="dxa"/>
            <w:tcBorders>
              <w:top w:val="single" w:color="auto" w:sz="4" w:space="0"/>
              <w:left w:val="single" w:color="auto" w:sz="4" w:space="0"/>
              <w:bottom w:val="single" w:color="auto" w:sz="4" w:space="0"/>
              <w:right w:val="single" w:color="auto" w:sz="4" w:space="0"/>
            </w:tcBorders>
          </w:tcPr>
          <w:p w14:paraId="750FFC8A">
            <w:pPr>
              <w:pStyle w:val="38"/>
              <w:spacing w:before="46" w:line="240" w:lineRule="auto"/>
              <w:ind w:left="907" w:firstLine="0" w:firstLineChars="0"/>
              <w:rPr>
                <w:color w:val="auto"/>
                <w:highlight w:val="none"/>
              </w:rPr>
            </w:pPr>
            <w:r>
              <w:rPr>
                <w:color w:val="auto"/>
                <w:highlight w:val="none"/>
              </w:rPr>
              <w:t>广场绿地率</w:t>
            </w:r>
          </w:p>
        </w:tc>
        <w:tc>
          <w:tcPr>
            <w:tcW w:w="1484" w:type="dxa"/>
            <w:tcBorders>
              <w:top w:val="single" w:color="auto" w:sz="4" w:space="0"/>
              <w:left w:val="single" w:color="auto" w:sz="4" w:space="0"/>
              <w:bottom w:val="single" w:color="auto" w:sz="4" w:space="0"/>
              <w:right w:val="single" w:color="auto" w:sz="4" w:space="0"/>
            </w:tcBorders>
            <w:vAlign w:val="center"/>
          </w:tcPr>
          <w:p w14:paraId="2117DE0E">
            <w:pPr>
              <w:pStyle w:val="38"/>
              <w:spacing w:line="240" w:lineRule="auto"/>
              <w:ind w:firstLine="0" w:firstLineChars="0"/>
              <w:jc w:val="center"/>
              <w:rPr>
                <w:rFonts w:eastAsiaTheme="minorEastAsia"/>
                <w:color w:val="auto"/>
                <w:sz w:val="22"/>
                <w:highlight w:val="none"/>
              </w:rPr>
            </w:pPr>
            <w:r>
              <w:rPr>
                <w:rFonts w:hint="eastAsia"/>
                <w:color w:val="auto"/>
                <w:sz w:val="22"/>
                <w:highlight w:val="none"/>
              </w:rPr>
              <w:t>≥30%</w:t>
            </w:r>
          </w:p>
        </w:tc>
        <w:tc>
          <w:tcPr>
            <w:tcW w:w="2074" w:type="dxa"/>
            <w:vMerge w:val="continue"/>
            <w:tcBorders>
              <w:top w:val="single" w:color="auto" w:sz="4" w:space="0"/>
              <w:left w:val="single" w:color="auto" w:sz="4" w:space="0"/>
              <w:bottom w:val="single" w:color="auto" w:sz="4" w:space="0"/>
              <w:right w:val="single" w:color="auto" w:sz="4" w:space="0"/>
            </w:tcBorders>
          </w:tcPr>
          <w:p w14:paraId="488B3A48">
            <w:pPr>
              <w:spacing w:line="240" w:lineRule="auto"/>
              <w:ind w:firstLine="0" w:firstLineChars="0"/>
              <w:rPr>
                <w:color w:val="auto"/>
                <w:sz w:val="2"/>
                <w:szCs w:val="2"/>
                <w:highlight w:val="none"/>
              </w:rPr>
            </w:pPr>
          </w:p>
        </w:tc>
      </w:tr>
      <w:tr w14:paraId="3E33D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68CD6621">
            <w:pPr>
              <w:pStyle w:val="38"/>
              <w:spacing w:line="240" w:lineRule="auto"/>
              <w:ind w:firstLine="0" w:firstLineChars="0"/>
              <w:jc w:val="center"/>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4B4B5721">
            <w:pPr>
              <w:pStyle w:val="38"/>
              <w:spacing w:before="63" w:line="240" w:lineRule="auto"/>
              <w:ind w:left="12" w:firstLine="0" w:firstLineChars="0"/>
              <w:jc w:val="center"/>
              <w:rPr>
                <w:color w:val="auto"/>
                <w:highlight w:val="none"/>
              </w:rPr>
            </w:pPr>
            <w:r>
              <w:rPr>
                <w:color w:val="auto"/>
                <w:highlight w:val="none"/>
              </w:rPr>
              <w:t>7</w:t>
            </w:r>
          </w:p>
        </w:tc>
        <w:tc>
          <w:tcPr>
            <w:tcW w:w="3015" w:type="dxa"/>
            <w:tcBorders>
              <w:top w:val="single" w:color="auto" w:sz="4" w:space="0"/>
              <w:left w:val="single" w:color="auto" w:sz="4" w:space="0"/>
              <w:bottom w:val="single" w:color="auto" w:sz="4" w:space="0"/>
              <w:right w:val="single" w:color="auto" w:sz="4" w:space="0"/>
            </w:tcBorders>
          </w:tcPr>
          <w:p w14:paraId="24B76CD8">
            <w:pPr>
              <w:pStyle w:val="38"/>
              <w:spacing w:before="47" w:line="240" w:lineRule="auto"/>
              <w:ind w:left="307" w:firstLine="0" w:firstLineChars="0"/>
              <w:rPr>
                <w:color w:val="auto"/>
                <w:highlight w:val="none"/>
              </w:rPr>
            </w:pPr>
            <w:r>
              <w:rPr>
                <w:color w:val="auto"/>
                <w:highlight w:val="none"/>
              </w:rPr>
              <w:t>广场可渗透硬化地面率</w:t>
            </w:r>
          </w:p>
        </w:tc>
        <w:tc>
          <w:tcPr>
            <w:tcW w:w="1484" w:type="dxa"/>
            <w:tcBorders>
              <w:top w:val="single" w:color="auto" w:sz="4" w:space="0"/>
              <w:left w:val="single" w:color="auto" w:sz="4" w:space="0"/>
              <w:bottom w:val="single" w:color="auto" w:sz="4" w:space="0"/>
              <w:right w:val="single" w:color="auto" w:sz="4" w:space="0"/>
            </w:tcBorders>
            <w:vAlign w:val="center"/>
          </w:tcPr>
          <w:p w14:paraId="35A5061B">
            <w:pPr>
              <w:pStyle w:val="38"/>
              <w:spacing w:line="240" w:lineRule="auto"/>
              <w:ind w:firstLine="0" w:firstLineChars="0"/>
              <w:jc w:val="center"/>
              <w:rPr>
                <w:rFonts w:eastAsiaTheme="minorEastAsia"/>
                <w:b/>
                <w:bCs/>
                <w:color w:val="auto"/>
                <w:sz w:val="22"/>
                <w:highlight w:val="none"/>
              </w:rPr>
            </w:pPr>
            <w:r>
              <w:rPr>
                <w:rFonts w:hint="eastAsia"/>
                <w:color w:val="auto"/>
                <w:sz w:val="22"/>
                <w:highlight w:val="none"/>
              </w:rPr>
              <w:t>≥40%</w:t>
            </w:r>
          </w:p>
        </w:tc>
        <w:tc>
          <w:tcPr>
            <w:tcW w:w="2074" w:type="dxa"/>
            <w:vMerge w:val="continue"/>
            <w:tcBorders>
              <w:top w:val="single" w:color="auto" w:sz="4" w:space="0"/>
              <w:left w:val="single" w:color="auto" w:sz="4" w:space="0"/>
              <w:bottom w:val="single" w:color="auto" w:sz="4" w:space="0"/>
              <w:right w:val="single" w:color="auto" w:sz="4" w:space="0"/>
            </w:tcBorders>
          </w:tcPr>
          <w:p w14:paraId="02D43452">
            <w:pPr>
              <w:spacing w:line="240" w:lineRule="auto"/>
              <w:ind w:firstLine="0" w:firstLineChars="0"/>
              <w:rPr>
                <w:color w:val="auto"/>
                <w:sz w:val="2"/>
                <w:szCs w:val="2"/>
                <w:highlight w:val="none"/>
              </w:rPr>
            </w:pPr>
          </w:p>
        </w:tc>
      </w:tr>
      <w:tr w14:paraId="2EB60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3DA42AD5">
            <w:pPr>
              <w:pStyle w:val="38"/>
              <w:spacing w:line="240" w:lineRule="auto"/>
              <w:ind w:firstLine="0" w:firstLineChars="0"/>
              <w:jc w:val="center"/>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2D90B327">
            <w:pPr>
              <w:pStyle w:val="38"/>
              <w:spacing w:before="63" w:line="240" w:lineRule="auto"/>
              <w:ind w:left="12" w:firstLine="0" w:firstLineChars="0"/>
              <w:jc w:val="center"/>
              <w:rPr>
                <w:color w:val="auto"/>
                <w:highlight w:val="none"/>
              </w:rPr>
            </w:pPr>
            <w:r>
              <w:rPr>
                <w:color w:val="auto"/>
                <w:highlight w:val="none"/>
              </w:rPr>
              <w:t>8</w:t>
            </w:r>
          </w:p>
        </w:tc>
        <w:tc>
          <w:tcPr>
            <w:tcW w:w="3015" w:type="dxa"/>
            <w:tcBorders>
              <w:top w:val="single" w:color="auto" w:sz="4" w:space="0"/>
              <w:left w:val="single" w:color="auto" w:sz="4" w:space="0"/>
              <w:bottom w:val="single" w:color="auto" w:sz="4" w:space="0"/>
              <w:right w:val="single" w:color="auto" w:sz="4" w:space="0"/>
            </w:tcBorders>
          </w:tcPr>
          <w:p w14:paraId="324E91F0">
            <w:pPr>
              <w:pStyle w:val="38"/>
              <w:spacing w:before="47" w:line="240" w:lineRule="auto"/>
              <w:ind w:left="307" w:firstLine="0" w:firstLineChars="0"/>
              <w:rPr>
                <w:color w:val="auto"/>
                <w:highlight w:val="none"/>
              </w:rPr>
            </w:pPr>
            <w:r>
              <w:rPr>
                <w:color w:val="auto"/>
                <w:highlight w:val="none"/>
              </w:rPr>
              <w:t>单位硬化面积调蓄容积</w:t>
            </w:r>
          </w:p>
        </w:tc>
        <w:tc>
          <w:tcPr>
            <w:tcW w:w="1484" w:type="dxa"/>
            <w:tcBorders>
              <w:top w:val="single" w:color="auto" w:sz="4" w:space="0"/>
              <w:left w:val="single" w:color="auto" w:sz="4" w:space="0"/>
              <w:bottom w:val="single" w:color="auto" w:sz="4" w:space="0"/>
              <w:right w:val="single" w:color="auto" w:sz="4" w:space="0"/>
            </w:tcBorders>
            <w:vAlign w:val="center"/>
          </w:tcPr>
          <w:p w14:paraId="1FDED2AA">
            <w:pPr>
              <w:pStyle w:val="38"/>
              <w:spacing w:line="240" w:lineRule="auto"/>
              <w:ind w:firstLine="0" w:firstLineChars="0"/>
              <w:jc w:val="center"/>
              <w:rPr>
                <w:color w:val="auto"/>
                <w:sz w:val="22"/>
                <w:highlight w:val="none"/>
              </w:rPr>
            </w:pPr>
            <w:r>
              <w:rPr>
                <w:rFonts w:hint="eastAsia"/>
                <w:color w:val="auto"/>
                <w:sz w:val="22"/>
                <w:highlight w:val="none"/>
              </w:rPr>
              <w:t>≥500m³/ha</w:t>
            </w:r>
          </w:p>
        </w:tc>
        <w:tc>
          <w:tcPr>
            <w:tcW w:w="2074" w:type="dxa"/>
            <w:vMerge w:val="continue"/>
            <w:tcBorders>
              <w:top w:val="single" w:color="auto" w:sz="4" w:space="0"/>
              <w:left w:val="single" w:color="auto" w:sz="4" w:space="0"/>
              <w:bottom w:val="single" w:color="auto" w:sz="4" w:space="0"/>
              <w:right w:val="single" w:color="auto" w:sz="4" w:space="0"/>
            </w:tcBorders>
          </w:tcPr>
          <w:p w14:paraId="7B7A9C6D">
            <w:pPr>
              <w:spacing w:line="240" w:lineRule="auto"/>
              <w:ind w:firstLine="0" w:firstLineChars="0"/>
              <w:rPr>
                <w:color w:val="auto"/>
                <w:sz w:val="2"/>
                <w:szCs w:val="2"/>
                <w:highlight w:val="none"/>
              </w:rPr>
            </w:pPr>
          </w:p>
        </w:tc>
      </w:tr>
      <w:tr w14:paraId="7D14F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vAlign w:val="center"/>
          </w:tcPr>
          <w:p w14:paraId="646154BE">
            <w:pPr>
              <w:pStyle w:val="38"/>
              <w:spacing w:line="240" w:lineRule="auto"/>
              <w:ind w:firstLine="0" w:firstLineChars="0"/>
              <w:jc w:val="center"/>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5A6685C2">
            <w:pPr>
              <w:pStyle w:val="38"/>
              <w:spacing w:before="62" w:line="240" w:lineRule="auto"/>
              <w:ind w:left="12" w:firstLine="0" w:firstLineChars="0"/>
              <w:jc w:val="center"/>
              <w:rPr>
                <w:color w:val="auto"/>
                <w:highlight w:val="none"/>
              </w:rPr>
            </w:pPr>
            <w:r>
              <w:rPr>
                <w:color w:val="auto"/>
                <w:highlight w:val="none"/>
              </w:rPr>
              <w:t>9</w:t>
            </w:r>
          </w:p>
        </w:tc>
        <w:tc>
          <w:tcPr>
            <w:tcW w:w="3015" w:type="dxa"/>
            <w:tcBorders>
              <w:top w:val="single" w:color="auto" w:sz="4" w:space="0"/>
              <w:left w:val="single" w:color="auto" w:sz="4" w:space="0"/>
              <w:bottom w:val="single" w:color="auto" w:sz="4" w:space="0"/>
              <w:right w:val="single" w:color="auto" w:sz="4" w:space="0"/>
            </w:tcBorders>
          </w:tcPr>
          <w:p w14:paraId="2649D5FC">
            <w:pPr>
              <w:pStyle w:val="38"/>
              <w:spacing w:before="46" w:line="240" w:lineRule="auto"/>
              <w:ind w:left="787" w:firstLine="0" w:firstLineChars="0"/>
              <w:rPr>
                <w:color w:val="auto"/>
                <w:highlight w:val="none"/>
              </w:rPr>
            </w:pPr>
            <w:r>
              <w:rPr>
                <w:color w:val="auto"/>
                <w:highlight w:val="none"/>
              </w:rPr>
              <w:t>下沉式绿地率</w:t>
            </w:r>
          </w:p>
        </w:tc>
        <w:tc>
          <w:tcPr>
            <w:tcW w:w="1484" w:type="dxa"/>
            <w:tcBorders>
              <w:top w:val="single" w:color="auto" w:sz="4" w:space="0"/>
              <w:left w:val="single" w:color="auto" w:sz="4" w:space="0"/>
              <w:bottom w:val="single" w:color="auto" w:sz="4" w:space="0"/>
              <w:right w:val="single" w:color="auto" w:sz="4" w:space="0"/>
            </w:tcBorders>
            <w:vAlign w:val="center"/>
          </w:tcPr>
          <w:p w14:paraId="764A506C">
            <w:pPr>
              <w:pStyle w:val="38"/>
              <w:spacing w:line="240" w:lineRule="auto"/>
              <w:ind w:firstLine="0" w:firstLineChars="0"/>
              <w:jc w:val="center"/>
              <w:rPr>
                <w:rFonts w:eastAsiaTheme="minorEastAsia"/>
                <w:color w:val="auto"/>
                <w:sz w:val="22"/>
                <w:highlight w:val="none"/>
              </w:rPr>
            </w:pPr>
            <w:r>
              <w:rPr>
                <w:rFonts w:hint="eastAsia"/>
                <w:color w:val="auto"/>
                <w:sz w:val="22"/>
                <w:highlight w:val="none"/>
              </w:rPr>
              <w:t>≥50%</w:t>
            </w:r>
          </w:p>
        </w:tc>
        <w:tc>
          <w:tcPr>
            <w:tcW w:w="2074" w:type="dxa"/>
            <w:vMerge w:val="continue"/>
            <w:tcBorders>
              <w:top w:val="single" w:color="auto" w:sz="4" w:space="0"/>
              <w:left w:val="single" w:color="auto" w:sz="4" w:space="0"/>
              <w:bottom w:val="single" w:color="auto" w:sz="4" w:space="0"/>
              <w:right w:val="single" w:color="auto" w:sz="4" w:space="0"/>
            </w:tcBorders>
          </w:tcPr>
          <w:p w14:paraId="1DE9BC80">
            <w:pPr>
              <w:spacing w:line="240" w:lineRule="auto"/>
              <w:ind w:firstLine="0" w:firstLineChars="0"/>
              <w:rPr>
                <w:color w:val="auto"/>
                <w:sz w:val="2"/>
                <w:szCs w:val="2"/>
                <w:highlight w:val="none"/>
              </w:rPr>
            </w:pPr>
          </w:p>
        </w:tc>
      </w:tr>
      <w:tr w14:paraId="2B2D6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restart"/>
            <w:tcBorders>
              <w:top w:val="single" w:color="auto" w:sz="4" w:space="0"/>
              <w:left w:val="single" w:color="auto" w:sz="4" w:space="0"/>
              <w:bottom w:val="single" w:color="auto" w:sz="4" w:space="0"/>
              <w:right w:val="single" w:color="auto" w:sz="4" w:space="0"/>
            </w:tcBorders>
            <w:vAlign w:val="center"/>
          </w:tcPr>
          <w:p w14:paraId="43C533E3">
            <w:pPr>
              <w:pStyle w:val="38"/>
              <w:spacing w:before="6" w:line="240" w:lineRule="auto"/>
              <w:ind w:firstLine="0" w:firstLineChars="0"/>
              <w:jc w:val="center"/>
              <w:rPr>
                <w:color w:val="auto"/>
                <w:sz w:val="18"/>
                <w:highlight w:val="none"/>
              </w:rPr>
            </w:pPr>
          </w:p>
          <w:p w14:paraId="7834B8CB">
            <w:pPr>
              <w:pStyle w:val="38"/>
              <w:spacing w:line="240" w:lineRule="auto"/>
              <w:ind w:left="81" w:firstLine="0" w:firstLineChars="0"/>
              <w:jc w:val="center"/>
              <w:rPr>
                <w:color w:val="auto"/>
                <w:highlight w:val="none"/>
              </w:rPr>
            </w:pPr>
            <w:r>
              <w:rPr>
                <w:rFonts w:eastAsia="Times New Roman"/>
                <w:color w:val="auto"/>
                <w:highlight w:val="none"/>
              </w:rPr>
              <w:t>□</w:t>
            </w:r>
            <w:r>
              <w:rPr>
                <w:color w:val="auto"/>
                <w:highlight w:val="none"/>
              </w:rPr>
              <w:t>水务工程</w:t>
            </w:r>
          </w:p>
        </w:tc>
        <w:tc>
          <w:tcPr>
            <w:tcW w:w="584" w:type="dxa"/>
            <w:tcBorders>
              <w:top w:val="single" w:color="auto" w:sz="4" w:space="0"/>
              <w:left w:val="single" w:color="auto" w:sz="4" w:space="0"/>
              <w:bottom w:val="single" w:color="auto" w:sz="4" w:space="0"/>
              <w:right w:val="single" w:color="auto" w:sz="4" w:space="0"/>
            </w:tcBorders>
          </w:tcPr>
          <w:p w14:paraId="2871CE44">
            <w:pPr>
              <w:pStyle w:val="38"/>
              <w:spacing w:before="63" w:line="240" w:lineRule="auto"/>
              <w:ind w:left="12" w:firstLine="0" w:firstLineChars="0"/>
              <w:jc w:val="center"/>
              <w:rPr>
                <w:color w:val="auto"/>
                <w:highlight w:val="none"/>
              </w:rPr>
            </w:pPr>
            <w:r>
              <w:rPr>
                <w:color w:val="auto"/>
                <w:highlight w:val="none"/>
              </w:rPr>
              <w:t>1</w:t>
            </w:r>
          </w:p>
        </w:tc>
        <w:tc>
          <w:tcPr>
            <w:tcW w:w="3015" w:type="dxa"/>
            <w:tcBorders>
              <w:top w:val="single" w:color="auto" w:sz="4" w:space="0"/>
              <w:left w:val="single" w:color="auto" w:sz="4" w:space="0"/>
              <w:bottom w:val="single" w:color="auto" w:sz="4" w:space="0"/>
              <w:right w:val="single" w:color="auto" w:sz="4" w:space="0"/>
            </w:tcBorders>
          </w:tcPr>
          <w:p w14:paraId="28EF147D">
            <w:pPr>
              <w:pStyle w:val="38"/>
              <w:spacing w:before="47" w:line="240" w:lineRule="auto"/>
              <w:ind w:left="547" w:firstLine="0" w:firstLineChars="0"/>
              <w:rPr>
                <w:color w:val="auto"/>
                <w:highlight w:val="none"/>
              </w:rPr>
            </w:pPr>
            <w:r>
              <w:rPr>
                <w:color w:val="auto"/>
                <w:highlight w:val="none"/>
              </w:rPr>
              <w:t>年径流总量控制率</w:t>
            </w:r>
          </w:p>
        </w:tc>
        <w:tc>
          <w:tcPr>
            <w:tcW w:w="1484" w:type="dxa"/>
            <w:tcBorders>
              <w:top w:val="single" w:color="auto" w:sz="4" w:space="0"/>
              <w:left w:val="single" w:color="auto" w:sz="4" w:space="0"/>
              <w:bottom w:val="single" w:color="auto" w:sz="4" w:space="0"/>
              <w:right w:val="single" w:color="auto" w:sz="4" w:space="0"/>
            </w:tcBorders>
            <w:vAlign w:val="center"/>
          </w:tcPr>
          <w:p w14:paraId="224B1278">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4118FB21">
            <w:pPr>
              <w:spacing w:line="240" w:lineRule="auto"/>
              <w:ind w:firstLine="0" w:firstLineChars="0"/>
              <w:rPr>
                <w:color w:val="auto"/>
                <w:sz w:val="2"/>
                <w:szCs w:val="2"/>
                <w:highlight w:val="none"/>
              </w:rPr>
            </w:pPr>
          </w:p>
        </w:tc>
      </w:tr>
      <w:tr w14:paraId="6D14D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60D8396F">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6CE90851">
            <w:pPr>
              <w:pStyle w:val="38"/>
              <w:spacing w:before="63" w:line="240" w:lineRule="auto"/>
              <w:ind w:left="12" w:firstLine="0" w:firstLineChars="0"/>
              <w:jc w:val="center"/>
              <w:rPr>
                <w:color w:val="auto"/>
                <w:highlight w:val="none"/>
              </w:rPr>
            </w:pPr>
            <w:r>
              <w:rPr>
                <w:color w:val="auto"/>
                <w:highlight w:val="none"/>
              </w:rPr>
              <w:t>2</w:t>
            </w:r>
          </w:p>
        </w:tc>
        <w:tc>
          <w:tcPr>
            <w:tcW w:w="3015" w:type="dxa"/>
            <w:tcBorders>
              <w:top w:val="single" w:color="auto" w:sz="4" w:space="0"/>
              <w:left w:val="single" w:color="auto" w:sz="4" w:space="0"/>
              <w:bottom w:val="single" w:color="auto" w:sz="4" w:space="0"/>
              <w:right w:val="single" w:color="auto" w:sz="4" w:space="0"/>
            </w:tcBorders>
          </w:tcPr>
          <w:p w14:paraId="4FB808AF">
            <w:pPr>
              <w:pStyle w:val="38"/>
              <w:spacing w:before="47" w:line="240" w:lineRule="auto"/>
              <w:ind w:left="787" w:firstLine="0" w:firstLineChars="0"/>
              <w:rPr>
                <w:color w:val="auto"/>
                <w:highlight w:val="none"/>
              </w:rPr>
            </w:pPr>
            <w:r>
              <w:rPr>
                <w:color w:val="auto"/>
                <w:highlight w:val="none"/>
              </w:rPr>
              <w:t>下沉式绿地率</w:t>
            </w:r>
          </w:p>
        </w:tc>
        <w:tc>
          <w:tcPr>
            <w:tcW w:w="1484" w:type="dxa"/>
            <w:tcBorders>
              <w:top w:val="single" w:color="auto" w:sz="4" w:space="0"/>
              <w:left w:val="single" w:color="auto" w:sz="4" w:space="0"/>
              <w:bottom w:val="single" w:color="auto" w:sz="4" w:space="0"/>
              <w:right w:val="single" w:color="auto" w:sz="4" w:space="0"/>
            </w:tcBorders>
            <w:vAlign w:val="center"/>
          </w:tcPr>
          <w:p w14:paraId="1FF1AF38">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32F4CAA2">
            <w:pPr>
              <w:spacing w:line="240" w:lineRule="auto"/>
              <w:ind w:firstLine="0" w:firstLineChars="0"/>
              <w:rPr>
                <w:color w:val="auto"/>
                <w:sz w:val="2"/>
                <w:szCs w:val="2"/>
                <w:highlight w:val="none"/>
              </w:rPr>
            </w:pPr>
          </w:p>
        </w:tc>
      </w:tr>
      <w:tr w14:paraId="3609D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tcPr>
          <w:p w14:paraId="2B48DAE1">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46BF808F">
            <w:pPr>
              <w:pStyle w:val="38"/>
              <w:spacing w:before="62" w:line="240" w:lineRule="auto"/>
              <w:ind w:left="12" w:firstLine="0" w:firstLineChars="0"/>
              <w:jc w:val="center"/>
              <w:rPr>
                <w:color w:val="auto"/>
                <w:highlight w:val="none"/>
              </w:rPr>
            </w:pPr>
            <w:r>
              <w:rPr>
                <w:color w:val="auto"/>
                <w:highlight w:val="none"/>
              </w:rPr>
              <w:t>3</w:t>
            </w:r>
          </w:p>
        </w:tc>
        <w:tc>
          <w:tcPr>
            <w:tcW w:w="3015" w:type="dxa"/>
            <w:tcBorders>
              <w:top w:val="single" w:color="auto" w:sz="4" w:space="0"/>
              <w:left w:val="single" w:color="auto" w:sz="4" w:space="0"/>
              <w:bottom w:val="single" w:color="auto" w:sz="4" w:space="0"/>
              <w:right w:val="single" w:color="auto" w:sz="4" w:space="0"/>
            </w:tcBorders>
          </w:tcPr>
          <w:p w14:paraId="5A45B3E4">
            <w:pPr>
              <w:pStyle w:val="38"/>
              <w:spacing w:before="46" w:line="240" w:lineRule="auto"/>
              <w:ind w:left="1005" w:right="995" w:firstLine="0" w:firstLineChars="0"/>
              <w:jc w:val="center"/>
              <w:rPr>
                <w:color w:val="auto"/>
                <w:highlight w:val="none"/>
              </w:rPr>
            </w:pPr>
            <w:r>
              <w:rPr>
                <w:color w:val="auto"/>
                <w:highlight w:val="none"/>
              </w:rPr>
              <w:t>排水体制</w:t>
            </w:r>
          </w:p>
        </w:tc>
        <w:tc>
          <w:tcPr>
            <w:tcW w:w="1484" w:type="dxa"/>
            <w:tcBorders>
              <w:top w:val="single" w:color="auto" w:sz="4" w:space="0"/>
              <w:left w:val="single" w:color="auto" w:sz="4" w:space="0"/>
              <w:bottom w:val="single" w:color="auto" w:sz="4" w:space="0"/>
              <w:right w:val="single" w:color="auto" w:sz="4" w:space="0"/>
            </w:tcBorders>
            <w:vAlign w:val="center"/>
          </w:tcPr>
          <w:p w14:paraId="472510AE">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7B39F7DD">
            <w:pPr>
              <w:spacing w:line="240" w:lineRule="auto"/>
              <w:ind w:firstLine="0" w:firstLineChars="0"/>
              <w:rPr>
                <w:color w:val="auto"/>
                <w:sz w:val="2"/>
                <w:szCs w:val="2"/>
                <w:highlight w:val="none"/>
              </w:rPr>
            </w:pPr>
          </w:p>
        </w:tc>
      </w:tr>
      <w:tr w14:paraId="5BAAE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405CC90C">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063C22BC">
            <w:pPr>
              <w:pStyle w:val="38"/>
              <w:spacing w:before="63" w:line="240" w:lineRule="auto"/>
              <w:ind w:left="12" w:firstLine="0" w:firstLineChars="0"/>
              <w:jc w:val="center"/>
              <w:rPr>
                <w:color w:val="auto"/>
                <w:highlight w:val="none"/>
              </w:rPr>
            </w:pPr>
            <w:r>
              <w:rPr>
                <w:color w:val="auto"/>
                <w:highlight w:val="none"/>
              </w:rPr>
              <w:t>4</w:t>
            </w:r>
          </w:p>
        </w:tc>
        <w:tc>
          <w:tcPr>
            <w:tcW w:w="3015" w:type="dxa"/>
            <w:tcBorders>
              <w:top w:val="single" w:color="auto" w:sz="4" w:space="0"/>
              <w:left w:val="single" w:color="auto" w:sz="4" w:space="0"/>
              <w:bottom w:val="single" w:color="auto" w:sz="4" w:space="0"/>
              <w:right w:val="single" w:color="auto" w:sz="4" w:space="0"/>
            </w:tcBorders>
          </w:tcPr>
          <w:p w14:paraId="4C77D014">
            <w:pPr>
              <w:pStyle w:val="38"/>
              <w:spacing w:before="47" w:line="240" w:lineRule="auto"/>
              <w:ind w:left="547" w:firstLine="0" w:firstLineChars="0"/>
              <w:rPr>
                <w:color w:val="auto"/>
                <w:highlight w:val="none"/>
              </w:rPr>
            </w:pPr>
            <w:r>
              <w:rPr>
                <w:color w:val="auto"/>
                <w:highlight w:val="none"/>
              </w:rPr>
              <w:t>年径流污染削减率</w:t>
            </w:r>
          </w:p>
        </w:tc>
        <w:tc>
          <w:tcPr>
            <w:tcW w:w="1484" w:type="dxa"/>
            <w:tcBorders>
              <w:top w:val="single" w:color="auto" w:sz="4" w:space="0"/>
              <w:left w:val="single" w:color="auto" w:sz="4" w:space="0"/>
              <w:bottom w:val="single" w:color="auto" w:sz="4" w:space="0"/>
              <w:right w:val="single" w:color="auto" w:sz="4" w:space="0"/>
            </w:tcBorders>
            <w:vAlign w:val="center"/>
          </w:tcPr>
          <w:p w14:paraId="07E239E3">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3204DEA3">
            <w:pPr>
              <w:spacing w:line="240" w:lineRule="auto"/>
              <w:ind w:firstLine="0" w:firstLineChars="0"/>
              <w:rPr>
                <w:color w:val="auto"/>
                <w:sz w:val="2"/>
                <w:szCs w:val="2"/>
                <w:highlight w:val="none"/>
              </w:rPr>
            </w:pPr>
          </w:p>
        </w:tc>
      </w:tr>
      <w:tr w14:paraId="20378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656E1D83">
            <w:pPr>
              <w:pStyle w:val="38"/>
              <w:spacing w:line="240" w:lineRule="auto"/>
              <w:ind w:left="81" w:firstLine="0" w:firstLineChars="0"/>
              <w:rPr>
                <w:color w:val="auto"/>
                <w:highlight w:val="none"/>
              </w:rPr>
            </w:pPr>
          </w:p>
        </w:tc>
        <w:tc>
          <w:tcPr>
            <w:tcW w:w="584" w:type="dxa"/>
            <w:tcBorders>
              <w:top w:val="single" w:color="auto" w:sz="4" w:space="0"/>
              <w:left w:val="single" w:color="auto" w:sz="4" w:space="0"/>
              <w:bottom w:val="single" w:color="auto" w:sz="4" w:space="0"/>
              <w:right w:val="single" w:color="auto" w:sz="4" w:space="0"/>
            </w:tcBorders>
          </w:tcPr>
          <w:p w14:paraId="416AB9EB">
            <w:pPr>
              <w:pStyle w:val="38"/>
              <w:spacing w:before="63" w:line="240" w:lineRule="auto"/>
              <w:ind w:left="12" w:firstLine="0" w:firstLineChars="0"/>
              <w:jc w:val="center"/>
              <w:rPr>
                <w:color w:val="auto"/>
                <w:highlight w:val="none"/>
              </w:rPr>
            </w:pPr>
            <w:r>
              <w:rPr>
                <w:color w:val="auto"/>
                <w:highlight w:val="none"/>
              </w:rPr>
              <w:t>5</w:t>
            </w:r>
          </w:p>
        </w:tc>
        <w:tc>
          <w:tcPr>
            <w:tcW w:w="3015" w:type="dxa"/>
            <w:tcBorders>
              <w:top w:val="single" w:color="auto" w:sz="4" w:space="0"/>
              <w:left w:val="single" w:color="auto" w:sz="4" w:space="0"/>
              <w:bottom w:val="single" w:color="auto" w:sz="4" w:space="0"/>
              <w:right w:val="single" w:color="auto" w:sz="4" w:space="0"/>
            </w:tcBorders>
          </w:tcPr>
          <w:p w14:paraId="44E30A2A">
            <w:pPr>
              <w:pStyle w:val="38"/>
              <w:spacing w:before="47" w:line="240" w:lineRule="auto"/>
              <w:ind w:left="787" w:firstLine="0" w:firstLineChars="0"/>
              <w:rPr>
                <w:color w:val="auto"/>
                <w:highlight w:val="none"/>
              </w:rPr>
            </w:pPr>
            <w:r>
              <w:rPr>
                <w:color w:val="auto"/>
                <w:highlight w:val="none"/>
              </w:rPr>
              <w:t>雨污分流比例</w:t>
            </w:r>
          </w:p>
        </w:tc>
        <w:tc>
          <w:tcPr>
            <w:tcW w:w="1484" w:type="dxa"/>
            <w:tcBorders>
              <w:top w:val="single" w:color="auto" w:sz="4" w:space="0"/>
              <w:left w:val="single" w:color="auto" w:sz="4" w:space="0"/>
              <w:bottom w:val="single" w:color="auto" w:sz="4" w:space="0"/>
              <w:right w:val="single" w:color="auto" w:sz="4" w:space="0"/>
            </w:tcBorders>
            <w:vAlign w:val="center"/>
          </w:tcPr>
          <w:p w14:paraId="1BA98CB6">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47E54754">
            <w:pPr>
              <w:spacing w:line="240" w:lineRule="auto"/>
              <w:ind w:firstLine="0" w:firstLineChars="0"/>
              <w:rPr>
                <w:color w:val="auto"/>
                <w:sz w:val="2"/>
                <w:szCs w:val="2"/>
                <w:highlight w:val="none"/>
              </w:rPr>
            </w:pPr>
          </w:p>
        </w:tc>
      </w:tr>
      <w:tr w14:paraId="40504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tcPr>
          <w:p w14:paraId="0C617E4F">
            <w:pPr>
              <w:spacing w:line="240" w:lineRule="auto"/>
              <w:ind w:firstLine="0" w:firstLineChars="0"/>
              <w:rPr>
                <w:color w:val="auto"/>
                <w:sz w:val="2"/>
                <w:szCs w:val="2"/>
                <w:highlight w:val="none"/>
              </w:rPr>
            </w:pPr>
          </w:p>
        </w:tc>
        <w:tc>
          <w:tcPr>
            <w:tcW w:w="584" w:type="dxa"/>
            <w:tcBorders>
              <w:top w:val="single" w:color="auto" w:sz="4" w:space="0"/>
              <w:left w:val="single" w:color="auto" w:sz="4" w:space="0"/>
              <w:bottom w:val="single" w:color="auto" w:sz="4" w:space="0"/>
              <w:right w:val="single" w:color="auto" w:sz="4" w:space="0"/>
            </w:tcBorders>
          </w:tcPr>
          <w:p w14:paraId="17CB5E40">
            <w:pPr>
              <w:pStyle w:val="38"/>
              <w:spacing w:before="62" w:line="240" w:lineRule="auto"/>
              <w:ind w:left="12" w:firstLine="0" w:firstLineChars="0"/>
              <w:jc w:val="center"/>
              <w:rPr>
                <w:color w:val="auto"/>
                <w:highlight w:val="none"/>
              </w:rPr>
            </w:pPr>
            <w:r>
              <w:rPr>
                <w:color w:val="auto"/>
                <w:highlight w:val="none"/>
              </w:rPr>
              <w:t>6</w:t>
            </w:r>
          </w:p>
        </w:tc>
        <w:tc>
          <w:tcPr>
            <w:tcW w:w="3015" w:type="dxa"/>
            <w:tcBorders>
              <w:top w:val="single" w:color="auto" w:sz="4" w:space="0"/>
              <w:left w:val="single" w:color="auto" w:sz="4" w:space="0"/>
              <w:bottom w:val="single" w:color="auto" w:sz="4" w:space="0"/>
              <w:right w:val="single" w:color="auto" w:sz="4" w:space="0"/>
            </w:tcBorders>
          </w:tcPr>
          <w:p w14:paraId="22D7D9FE">
            <w:pPr>
              <w:pStyle w:val="38"/>
              <w:spacing w:before="46" w:line="240" w:lineRule="auto"/>
              <w:ind w:left="787" w:firstLine="0" w:firstLineChars="0"/>
              <w:rPr>
                <w:color w:val="auto"/>
                <w:highlight w:val="none"/>
              </w:rPr>
            </w:pPr>
            <w:r>
              <w:rPr>
                <w:color w:val="auto"/>
                <w:highlight w:val="none"/>
              </w:rPr>
              <w:t>内涝防治标准</w:t>
            </w:r>
          </w:p>
        </w:tc>
        <w:tc>
          <w:tcPr>
            <w:tcW w:w="1484" w:type="dxa"/>
            <w:tcBorders>
              <w:top w:val="single" w:color="auto" w:sz="4" w:space="0"/>
              <w:left w:val="single" w:color="auto" w:sz="4" w:space="0"/>
              <w:bottom w:val="single" w:color="auto" w:sz="4" w:space="0"/>
              <w:right w:val="single" w:color="auto" w:sz="4" w:space="0"/>
            </w:tcBorders>
            <w:vAlign w:val="center"/>
          </w:tcPr>
          <w:p w14:paraId="22EA564E">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1F145C60">
            <w:pPr>
              <w:spacing w:line="240" w:lineRule="auto"/>
              <w:ind w:firstLine="0" w:firstLineChars="0"/>
              <w:rPr>
                <w:color w:val="auto"/>
                <w:sz w:val="2"/>
                <w:szCs w:val="2"/>
                <w:highlight w:val="none"/>
              </w:rPr>
            </w:pPr>
          </w:p>
        </w:tc>
      </w:tr>
      <w:tr w14:paraId="33056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7404D7BC">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0F20DFEF">
            <w:pPr>
              <w:pStyle w:val="38"/>
              <w:spacing w:before="63" w:line="240" w:lineRule="auto"/>
              <w:ind w:left="12" w:firstLine="0" w:firstLineChars="0"/>
              <w:jc w:val="center"/>
              <w:rPr>
                <w:color w:val="auto"/>
                <w:highlight w:val="none"/>
              </w:rPr>
            </w:pPr>
            <w:r>
              <w:rPr>
                <w:color w:val="auto"/>
                <w:highlight w:val="none"/>
              </w:rPr>
              <w:t>7</w:t>
            </w:r>
          </w:p>
        </w:tc>
        <w:tc>
          <w:tcPr>
            <w:tcW w:w="3015" w:type="dxa"/>
            <w:tcBorders>
              <w:top w:val="single" w:color="auto" w:sz="4" w:space="0"/>
              <w:left w:val="single" w:color="auto" w:sz="4" w:space="0"/>
              <w:bottom w:val="single" w:color="auto" w:sz="4" w:space="0"/>
              <w:right w:val="single" w:color="auto" w:sz="4" w:space="0"/>
            </w:tcBorders>
          </w:tcPr>
          <w:p w14:paraId="186259DE">
            <w:pPr>
              <w:pStyle w:val="38"/>
              <w:spacing w:before="47" w:line="240" w:lineRule="auto"/>
              <w:ind w:left="787" w:firstLine="0" w:firstLineChars="0"/>
              <w:rPr>
                <w:color w:val="auto"/>
                <w:highlight w:val="none"/>
              </w:rPr>
            </w:pPr>
            <w:r>
              <w:rPr>
                <w:color w:val="auto"/>
                <w:highlight w:val="none"/>
              </w:rPr>
              <w:t>城市防洪标准</w:t>
            </w:r>
          </w:p>
        </w:tc>
        <w:tc>
          <w:tcPr>
            <w:tcW w:w="1484" w:type="dxa"/>
            <w:tcBorders>
              <w:top w:val="single" w:color="auto" w:sz="4" w:space="0"/>
              <w:left w:val="single" w:color="auto" w:sz="4" w:space="0"/>
              <w:bottom w:val="single" w:color="auto" w:sz="4" w:space="0"/>
              <w:right w:val="single" w:color="auto" w:sz="4" w:space="0"/>
            </w:tcBorders>
            <w:vAlign w:val="center"/>
          </w:tcPr>
          <w:p w14:paraId="2E23E040">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3AA08E8F">
            <w:pPr>
              <w:spacing w:line="240" w:lineRule="auto"/>
              <w:ind w:firstLine="0" w:firstLineChars="0"/>
              <w:rPr>
                <w:color w:val="auto"/>
                <w:sz w:val="2"/>
                <w:szCs w:val="2"/>
                <w:highlight w:val="none"/>
              </w:rPr>
            </w:pPr>
          </w:p>
        </w:tc>
      </w:tr>
      <w:tr w14:paraId="3AE15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5B3E1C10">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15DC9246">
            <w:pPr>
              <w:pStyle w:val="38"/>
              <w:spacing w:before="63" w:line="240" w:lineRule="auto"/>
              <w:ind w:left="12" w:firstLine="0" w:firstLineChars="0"/>
              <w:jc w:val="center"/>
              <w:rPr>
                <w:color w:val="auto"/>
                <w:highlight w:val="none"/>
              </w:rPr>
            </w:pPr>
            <w:r>
              <w:rPr>
                <w:color w:val="auto"/>
                <w:highlight w:val="none"/>
              </w:rPr>
              <w:t>8</w:t>
            </w:r>
          </w:p>
        </w:tc>
        <w:tc>
          <w:tcPr>
            <w:tcW w:w="3015" w:type="dxa"/>
            <w:tcBorders>
              <w:top w:val="single" w:color="auto" w:sz="4" w:space="0"/>
              <w:left w:val="single" w:color="auto" w:sz="4" w:space="0"/>
              <w:bottom w:val="single" w:color="auto" w:sz="4" w:space="0"/>
              <w:right w:val="single" w:color="auto" w:sz="4" w:space="0"/>
            </w:tcBorders>
          </w:tcPr>
          <w:p w14:paraId="58780578">
            <w:pPr>
              <w:pStyle w:val="38"/>
              <w:spacing w:before="47" w:line="240" w:lineRule="auto"/>
              <w:ind w:left="547" w:firstLine="0" w:firstLineChars="0"/>
              <w:rPr>
                <w:color w:val="auto"/>
                <w:highlight w:val="none"/>
              </w:rPr>
            </w:pPr>
            <w:r>
              <w:rPr>
                <w:color w:val="auto"/>
                <w:highlight w:val="none"/>
              </w:rPr>
              <w:t>雨水管渠设计标准</w:t>
            </w:r>
          </w:p>
        </w:tc>
        <w:tc>
          <w:tcPr>
            <w:tcW w:w="1484" w:type="dxa"/>
            <w:tcBorders>
              <w:top w:val="single" w:color="auto" w:sz="4" w:space="0"/>
              <w:left w:val="single" w:color="auto" w:sz="4" w:space="0"/>
              <w:bottom w:val="single" w:color="auto" w:sz="4" w:space="0"/>
              <w:right w:val="single" w:color="auto" w:sz="4" w:space="0"/>
            </w:tcBorders>
            <w:vAlign w:val="center"/>
          </w:tcPr>
          <w:p w14:paraId="268F88C7">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1D8C76F4">
            <w:pPr>
              <w:spacing w:line="240" w:lineRule="auto"/>
              <w:ind w:firstLine="0" w:firstLineChars="0"/>
              <w:rPr>
                <w:color w:val="auto"/>
                <w:sz w:val="2"/>
                <w:szCs w:val="2"/>
                <w:highlight w:val="none"/>
              </w:rPr>
            </w:pPr>
          </w:p>
        </w:tc>
      </w:tr>
      <w:tr w14:paraId="58388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268" w:type="dxa"/>
            <w:vMerge w:val="continue"/>
            <w:tcBorders>
              <w:top w:val="single" w:color="auto" w:sz="4" w:space="0"/>
              <w:left w:val="single" w:color="auto" w:sz="4" w:space="0"/>
              <w:bottom w:val="single" w:color="auto" w:sz="4" w:space="0"/>
              <w:right w:val="single" w:color="auto" w:sz="4" w:space="0"/>
            </w:tcBorders>
          </w:tcPr>
          <w:p w14:paraId="55A44A4D">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12784BE8">
            <w:pPr>
              <w:pStyle w:val="38"/>
              <w:spacing w:before="62" w:line="240" w:lineRule="auto"/>
              <w:ind w:left="12" w:firstLine="0" w:firstLineChars="0"/>
              <w:jc w:val="center"/>
              <w:rPr>
                <w:color w:val="auto"/>
                <w:highlight w:val="none"/>
              </w:rPr>
            </w:pPr>
            <w:r>
              <w:rPr>
                <w:color w:val="auto"/>
                <w:highlight w:val="none"/>
              </w:rPr>
              <w:t>9</w:t>
            </w:r>
          </w:p>
        </w:tc>
        <w:tc>
          <w:tcPr>
            <w:tcW w:w="3015" w:type="dxa"/>
            <w:tcBorders>
              <w:top w:val="single" w:color="auto" w:sz="4" w:space="0"/>
              <w:left w:val="single" w:color="auto" w:sz="4" w:space="0"/>
              <w:bottom w:val="single" w:color="auto" w:sz="4" w:space="0"/>
              <w:right w:val="single" w:color="auto" w:sz="4" w:space="0"/>
            </w:tcBorders>
          </w:tcPr>
          <w:p w14:paraId="4018F43A">
            <w:pPr>
              <w:pStyle w:val="38"/>
              <w:spacing w:before="46" w:line="240" w:lineRule="auto"/>
              <w:ind w:left="667" w:firstLine="0" w:firstLineChars="0"/>
              <w:rPr>
                <w:color w:val="auto"/>
                <w:highlight w:val="none"/>
              </w:rPr>
            </w:pPr>
            <w:r>
              <w:rPr>
                <w:color w:val="auto"/>
                <w:highlight w:val="none"/>
              </w:rPr>
              <w:t>污水再生利用率</w:t>
            </w:r>
          </w:p>
        </w:tc>
        <w:tc>
          <w:tcPr>
            <w:tcW w:w="1484" w:type="dxa"/>
            <w:tcBorders>
              <w:top w:val="single" w:color="auto" w:sz="4" w:space="0"/>
              <w:left w:val="single" w:color="auto" w:sz="4" w:space="0"/>
              <w:bottom w:val="single" w:color="auto" w:sz="4" w:space="0"/>
              <w:right w:val="single" w:color="auto" w:sz="4" w:space="0"/>
            </w:tcBorders>
            <w:vAlign w:val="center"/>
          </w:tcPr>
          <w:p w14:paraId="07F927B0">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1CBF915E">
            <w:pPr>
              <w:spacing w:line="240" w:lineRule="auto"/>
              <w:ind w:firstLine="0" w:firstLineChars="0"/>
              <w:rPr>
                <w:color w:val="auto"/>
                <w:sz w:val="2"/>
                <w:szCs w:val="2"/>
                <w:highlight w:val="none"/>
              </w:rPr>
            </w:pPr>
          </w:p>
        </w:tc>
      </w:tr>
      <w:tr w14:paraId="0929A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68" w:type="dxa"/>
            <w:vMerge w:val="continue"/>
            <w:tcBorders>
              <w:top w:val="single" w:color="auto" w:sz="4" w:space="0"/>
              <w:left w:val="single" w:color="auto" w:sz="4" w:space="0"/>
              <w:bottom w:val="single" w:color="auto" w:sz="4" w:space="0"/>
              <w:right w:val="single" w:color="auto" w:sz="4" w:space="0"/>
            </w:tcBorders>
          </w:tcPr>
          <w:p w14:paraId="24C6AAB5">
            <w:pPr>
              <w:pStyle w:val="38"/>
              <w:spacing w:line="240" w:lineRule="auto"/>
              <w:ind w:firstLine="0" w:firstLineChars="0"/>
              <w:rPr>
                <w:color w:val="auto"/>
                <w:sz w:val="22"/>
                <w:highlight w:val="none"/>
              </w:rPr>
            </w:pPr>
          </w:p>
        </w:tc>
        <w:tc>
          <w:tcPr>
            <w:tcW w:w="584" w:type="dxa"/>
            <w:tcBorders>
              <w:top w:val="single" w:color="auto" w:sz="4" w:space="0"/>
              <w:left w:val="single" w:color="auto" w:sz="4" w:space="0"/>
              <w:bottom w:val="single" w:color="auto" w:sz="4" w:space="0"/>
              <w:right w:val="single" w:color="auto" w:sz="4" w:space="0"/>
            </w:tcBorders>
          </w:tcPr>
          <w:p w14:paraId="54D12354">
            <w:pPr>
              <w:pStyle w:val="38"/>
              <w:spacing w:before="63" w:line="240" w:lineRule="auto"/>
              <w:ind w:left="31" w:right="20" w:firstLine="0" w:firstLineChars="0"/>
              <w:jc w:val="center"/>
              <w:rPr>
                <w:color w:val="auto"/>
                <w:highlight w:val="none"/>
              </w:rPr>
            </w:pPr>
            <w:r>
              <w:rPr>
                <w:color w:val="auto"/>
                <w:highlight w:val="none"/>
              </w:rPr>
              <w:t>10</w:t>
            </w:r>
          </w:p>
        </w:tc>
        <w:tc>
          <w:tcPr>
            <w:tcW w:w="3015" w:type="dxa"/>
            <w:tcBorders>
              <w:top w:val="single" w:color="auto" w:sz="4" w:space="0"/>
              <w:left w:val="single" w:color="auto" w:sz="4" w:space="0"/>
              <w:bottom w:val="single" w:color="auto" w:sz="4" w:space="0"/>
              <w:right w:val="single" w:color="auto" w:sz="4" w:space="0"/>
            </w:tcBorders>
          </w:tcPr>
          <w:p w14:paraId="74790A87">
            <w:pPr>
              <w:pStyle w:val="38"/>
              <w:spacing w:before="47" w:line="240" w:lineRule="auto"/>
              <w:ind w:left="667" w:firstLine="0" w:firstLineChars="0"/>
              <w:rPr>
                <w:color w:val="auto"/>
                <w:highlight w:val="none"/>
              </w:rPr>
            </w:pPr>
            <w:r>
              <w:rPr>
                <w:color w:val="auto"/>
                <w:highlight w:val="none"/>
              </w:rPr>
              <w:t>雨水资源利用率</w:t>
            </w:r>
          </w:p>
        </w:tc>
        <w:tc>
          <w:tcPr>
            <w:tcW w:w="1484" w:type="dxa"/>
            <w:tcBorders>
              <w:top w:val="single" w:color="auto" w:sz="4" w:space="0"/>
              <w:left w:val="single" w:color="auto" w:sz="4" w:space="0"/>
              <w:bottom w:val="single" w:color="auto" w:sz="4" w:space="0"/>
              <w:right w:val="single" w:color="auto" w:sz="4" w:space="0"/>
            </w:tcBorders>
            <w:vAlign w:val="center"/>
          </w:tcPr>
          <w:p w14:paraId="56F79679">
            <w:pPr>
              <w:pStyle w:val="38"/>
              <w:spacing w:line="240" w:lineRule="auto"/>
              <w:ind w:firstLine="0" w:firstLineChars="0"/>
              <w:jc w:val="center"/>
              <w:rPr>
                <w:color w:val="auto"/>
                <w:sz w:val="22"/>
                <w:highlight w:val="none"/>
              </w:rPr>
            </w:pPr>
          </w:p>
        </w:tc>
        <w:tc>
          <w:tcPr>
            <w:tcW w:w="2074" w:type="dxa"/>
            <w:vMerge w:val="continue"/>
            <w:tcBorders>
              <w:top w:val="single" w:color="auto" w:sz="4" w:space="0"/>
              <w:left w:val="single" w:color="auto" w:sz="4" w:space="0"/>
              <w:bottom w:val="single" w:color="auto" w:sz="4" w:space="0"/>
              <w:right w:val="single" w:color="auto" w:sz="4" w:space="0"/>
            </w:tcBorders>
          </w:tcPr>
          <w:p w14:paraId="617A2B6D">
            <w:pPr>
              <w:spacing w:line="240" w:lineRule="auto"/>
              <w:ind w:firstLine="0" w:firstLineChars="0"/>
              <w:rPr>
                <w:color w:val="auto"/>
                <w:sz w:val="2"/>
                <w:szCs w:val="2"/>
                <w:highlight w:val="none"/>
              </w:rPr>
            </w:pPr>
          </w:p>
        </w:tc>
      </w:tr>
    </w:tbl>
    <w:p w14:paraId="1BD0AA76">
      <w:pPr>
        <w:ind w:firstLine="0" w:firstLineChars="0"/>
        <w:rPr>
          <w:color w:val="auto"/>
          <w:highlight w:val="none"/>
        </w:rPr>
      </w:pPr>
    </w:p>
    <w:p w14:paraId="3D0EA3DA">
      <w:pPr>
        <w:pStyle w:val="2"/>
        <w:numPr>
          <w:ilvl w:val="0"/>
          <w:numId w:val="0"/>
        </w:numPr>
        <w:spacing w:beforeLines="0"/>
        <w:jc w:val="center"/>
        <w:rPr>
          <w:color w:val="auto"/>
          <w:highlight w:val="none"/>
        </w:rPr>
      </w:pPr>
      <w:r>
        <w:rPr>
          <w:color w:val="auto"/>
          <w:highlight w:val="none"/>
        </w:rPr>
        <w:t>建设项目海绵城市专项设计方案自评表</w:t>
      </w:r>
    </w:p>
    <w:p w14:paraId="749F349F">
      <w:pPr>
        <w:tabs>
          <w:tab w:val="left" w:pos="3089"/>
        </w:tabs>
        <w:ind w:firstLine="560"/>
        <w:jc w:val="center"/>
        <w:rPr>
          <w:color w:val="auto"/>
          <w:highlight w:val="none"/>
        </w:rPr>
      </w:pPr>
      <w:r>
        <w:rPr>
          <w:rFonts w:hint="eastAsia" w:ascii="宋体"/>
          <w:color w:val="auto"/>
          <w:sz w:val="28"/>
          <w:highlight w:val="none"/>
        </w:rPr>
        <w:t>（</w:t>
      </w:r>
      <w:r>
        <w:rPr>
          <w:rFonts w:hint="eastAsia" w:ascii="宋体"/>
          <w:b/>
          <w:color w:val="auto"/>
          <w:sz w:val="28"/>
          <w:highlight w:val="none"/>
        </w:rPr>
        <w:t>项目类型：市政道路</w:t>
      </w:r>
      <w:r>
        <w:rPr>
          <w:rFonts w:hint="eastAsia" w:ascii="宋体"/>
          <w:color w:val="auto"/>
          <w:sz w:val="28"/>
          <w:highlight w:val="none"/>
        </w:rPr>
        <w:t>）</w:t>
      </w:r>
    </w:p>
    <w:p w14:paraId="241FCA5B">
      <w:pPr>
        <w:ind w:firstLine="0" w:firstLineChars="0"/>
        <w:rPr>
          <w:color w:val="auto"/>
          <w:highlight w:val="none"/>
        </w:rPr>
      </w:pPr>
    </w:p>
    <w:tbl>
      <w:tblPr>
        <w:tblStyle w:val="17"/>
        <w:tblW w:w="91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285"/>
        <w:gridCol w:w="641"/>
        <w:gridCol w:w="1926"/>
        <w:gridCol w:w="1926"/>
        <w:gridCol w:w="2530"/>
      </w:tblGrid>
      <w:tr w14:paraId="51498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6D541B40">
            <w:pPr>
              <w:pStyle w:val="38"/>
              <w:spacing w:before="80"/>
              <w:ind w:left="8" w:firstLine="0" w:firstLineChars="0"/>
              <w:jc w:val="center"/>
              <w:rPr>
                <w:color w:val="auto"/>
                <w:highlight w:val="none"/>
              </w:rPr>
            </w:pPr>
            <w:r>
              <w:rPr>
                <w:color w:val="auto"/>
                <w:highlight w:val="none"/>
              </w:rPr>
              <w:t>1</w:t>
            </w:r>
          </w:p>
        </w:tc>
        <w:tc>
          <w:tcPr>
            <w:tcW w:w="1285" w:type="dxa"/>
          </w:tcPr>
          <w:p w14:paraId="726427E8">
            <w:pPr>
              <w:pStyle w:val="38"/>
              <w:spacing w:before="64"/>
              <w:ind w:left="108" w:firstLine="0" w:firstLineChars="0"/>
              <w:rPr>
                <w:color w:val="auto"/>
                <w:highlight w:val="none"/>
              </w:rPr>
            </w:pPr>
            <w:r>
              <w:rPr>
                <w:color w:val="auto"/>
                <w:highlight w:val="none"/>
              </w:rPr>
              <w:t>项目名称</w:t>
            </w:r>
          </w:p>
        </w:tc>
        <w:tc>
          <w:tcPr>
            <w:tcW w:w="7023" w:type="dxa"/>
            <w:gridSpan w:val="4"/>
            <w:vAlign w:val="center"/>
          </w:tcPr>
          <w:p w14:paraId="5F426060">
            <w:pPr>
              <w:pStyle w:val="38"/>
              <w:ind w:left="0" w:leftChars="0" w:firstLine="0" w:firstLineChars="0"/>
              <w:jc w:val="center"/>
              <w:rPr>
                <w:color w:val="auto"/>
                <w:highlight w:val="none"/>
              </w:rPr>
            </w:pPr>
            <w:r>
              <w:rPr>
                <w:rFonts w:hint="eastAsia"/>
                <w:color w:val="auto"/>
                <w:highlight w:val="none"/>
                <w:lang w:eastAsia="zh-CN"/>
              </w:rPr>
              <w:t>广州空港经济区拆迁安置区（花东安置区）教育配套设施建设项目</w:t>
            </w:r>
          </w:p>
        </w:tc>
      </w:tr>
      <w:tr w14:paraId="21D4B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5A11A129">
            <w:pPr>
              <w:pStyle w:val="38"/>
              <w:spacing w:before="80"/>
              <w:ind w:left="8" w:firstLine="0" w:firstLineChars="0"/>
              <w:jc w:val="center"/>
              <w:rPr>
                <w:color w:val="auto"/>
                <w:highlight w:val="none"/>
              </w:rPr>
            </w:pPr>
            <w:r>
              <w:rPr>
                <w:color w:val="auto"/>
                <w:highlight w:val="none"/>
              </w:rPr>
              <w:t>2</w:t>
            </w:r>
          </w:p>
        </w:tc>
        <w:tc>
          <w:tcPr>
            <w:tcW w:w="1285" w:type="dxa"/>
          </w:tcPr>
          <w:p w14:paraId="283EB001">
            <w:pPr>
              <w:pStyle w:val="38"/>
              <w:spacing w:before="64"/>
              <w:ind w:left="108" w:firstLine="0" w:firstLineChars="0"/>
              <w:rPr>
                <w:color w:val="auto"/>
                <w:highlight w:val="none"/>
              </w:rPr>
            </w:pPr>
            <w:r>
              <w:rPr>
                <w:color w:val="auto"/>
                <w:highlight w:val="none"/>
              </w:rPr>
              <w:t>用地位置</w:t>
            </w:r>
          </w:p>
        </w:tc>
        <w:tc>
          <w:tcPr>
            <w:tcW w:w="7023" w:type="dxa"/>
            <w:gridSpan w:val="4"/>
            <w:vAlign w:val="center"/>
          </w:tcPr>
          <w:p w14:paraId="34783B8D">
            <w:pPr>
              <w:pStyle w:val="38"/>
              <w:ind w:firstLine="0" w:firstLineChars="0"/>
              <w:rPr>
                <w:rFonts w:eastAsiaTheme="minorEastAsia"/>
                <w:color w:val="auto"/>
                <w:highlight w:val="none"/>
              </w:rPr>
            </w:pPr>
            <w:r>
              <w:rPr>
                <w:rFonts w:hint="eastAsia"/>
                <w:color w:val="auto"/>
                <w:highlight w:val="none"/>
              </w:rPr>
              <w:t xml:space="preserve"> 广州市花都区</w:t>
            </w:r>
          </w:p>
        </w:tc>
      </w:tr>
      <w:tr w14:paraId="7EE61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9" w:hRule="atLeast"/>
        </w:trPr>
        <w:tc>
          <w:tcPr>
            <w:tcW w:w="817" w:type="dxa"/>
          </w:tcPr>
          <w:p w14:paraId="1E29B3CD">
            <w:pPr>
              <w:pStyle w:val="38"/>
              <w:spacing w:before="79"/>
              <w:ind w:left="8" w:firstLine="0" w:firstLineChars="0"/>
              <w:jc w:val="center"/>
              <w:rPr>
                <w:color w:val="auto"/>
                <w:highlight w:val="none"/>
              </w:rPr>
            </w:pPr>
            <w:r>
              <w:rPr>
                <w:color w:val="auto"/>
                <w:highlight w:val="none"/>
              </w:rPr>
              <w:t>3</w:t>
            </w:r>
          </w:p>
        </w:tc>
        <w:tc>
          <w:tcPr>
            <w:tcW w:w="8308" w:type="dxa"/>
            <w:gridSpan w:val="5"/>
          </w:tcPr>
          <w:p w14:paraId="2BD4DC62">
            <w:pPr>
              <w:pStyle w:val="38"/>
              <w:spacing w:before="63"/>
              <w:ind w:left="108" w:firstLine="0" w:firstLineChars="0"/>
              <w:rPr>
                <w:color w:val="auto"/>
                <w:highlight w:val="none"/>
              </w:rPr>
            </w:pPr>
            <w:r>
              <w:rPr>
                <w:color w:val="auto"/>
                <w:highlight w:val="none"/>
              </w:rPr>
              <w:t>项目情况简介</w:t>
            </w:r>
          </w:p>
          <w:p w14:paraId="64313547">
            <w:pPr>
              <w:pStyle w:val="38"/>
              <w:spacing w:before="128"/>
              <w:ind w:left="108" w:right="146" w:firstLine="0" w:firstLineChars="0"/>
              <w:rPr>
                <w:color w:val="auto"/>
                <w:highlight w:val="none"/>
              </w:rPr>
            </w:pPr>
            <w:r>
              <w:rPr>
                <w:rFonts w:hint="eastAsia"/>
                <w:color w:val="auto"/>
                <w:highlight w:val="none"/>
                <w:u w:val="none"/>
                <w:lang w:eastAsia="zh-CN"/>
              </w:rPr>
              <w:t>永安东路二期工程与一期工程</w:t>
            </w:r>
            <w:r>
              <w:rPr>
                <w:rFonts w:hint="eastAsia"/>
                <w:color w:val="auto"/>
                <w:highlight w:val="none"/>
                <w:u w:val="none"/>
              </w:rPr>
              <w:t>面积</w:t>
            </w:r>
            <w:r>
              <w:rPr>
                <w:rFonts w:hint="eastAsia"/>
                <w:color w:val="auto"/>
                <w:highlight w:val="none"/>
                <w:lang w:eastAsia="zh-CN"/>
              </w:rPr>
              <w:t>共</w:t>
            </w:r>
            <w:r>
              <w:rPr>
                <w:rFonts w:hint="eastAsia"/>
                <w:color w:val="auto"/>
                <w:highlight w:val="none"/>
              </w:rPr>
              <w:t>为</w:t>
            </w:r>
            <w:r>
              <w:rPr>
                <w:rFonts w:hint="eastAsia" w:ascii="宋体" w:hAnsi="宋体" w:eastAsia="宋体" w:cs="宋体"/>
                <w:color w:val="auto"/>
                <w:sz w:val="24"/>
                <w:szCs w:val="24"/>
                <w:highlight w:val="none"/>
                <w:lang w:val="en-US" w:eastAsia="zh-CN"/>
              </w:rPr>
              <w:t>17557.32</w:t>
            </w:r>
            <w:r>
              <w:rPr>
                <w:rFonts w:hint="eastAsia"/>
                <w:color w:val="auto"/>
                <w:highlight w:val="none"/>
              </w:rPr>
              <w:t>平方米</w:t>
            </w:r>
            <w:r>
              <w:rPr>
                <w:rFonts w:hint="eastAsia"/>
                <w:color w:val="auto"/>
                <w:sz w:val="21"/>
                <w:szCs w:val="21"/>
                <w:highlight w:val="none"/>
              </w:rPr>
              <w:t>，</w:t>
            </w:r>
            <w:r>
              <w:rPr>
                <w:rFonts w:hint="eastAsia"/>
                <w:color w:val="auto"/>
                <w:highlight w:val="none"/>
              </w:rPr>
              <w:t>共一条市政道路，为</w:t>
            </w:r>
            <w:r>
              <w:rPr>
                <w:rFonts w:hint="eastAsia"/>
                <w:color w:val="auto"/>
                <w:spacing w:val="1"/>
                <w:highlight w:val="none"/>
              </w:rPr>
              <w:t>永安东路，永安东路全长为3</w:t>
            </w:r>
            <w:r>
              <w:rPr>
                <w:color w:val="auto"/>
                <w:spacing w:val="1"/>
                <w:highlight w:val="none"/>
              </w:rPr>
              <w:t>02.27m</w:t>
            </w:r>
            <w:r>
              <w:rPr>
                <w:rFonts w:hint="eastAsia"/>
                <w:color w:val="auto"/>
                <w:spacing w:val="1"/>
                <w:highlight w:val="none"/>
              </w:rPr>
              <w:t>，</w:t>
            </w:r>
            <w:r>
              <w:rPr>
                <w:rFonts w:hint="eastAsia" w:hAnsi="宋体"/>
                <w:bCs/>
                <w:color w:val="auto"/>
                <w:highlight w:val="none"/>
              </w:rPr>
              <w:t>采用下沉式绿地</w:t>
            </w:r>
            <w:r>
              <w:rPr>
                <w:rFonts w:hint="eastAsia" w:hAnsi="宋体"/>
                <w:bCs/>
                <w:color w:val="auto"/>
                <w:highlight w:val="none"/>
                <w:lang w:eastAsia="zh-CN"/>
              </w:rPr>
              <w:t>和透水铺装海绵</w:t>
            </w:r>
            <w:r>
              <w:rPr>
                <w:rFonts w:hint="eastAsia" w:hAnsi="宋体"/>
                <w:bCs/>
                <w:color w:val="auto"/>
                <w:highlight w:val="none"/>
              </w:rPr>
              <w:t>措施</w:t>
            </w:r>
            <w:r>
              <w:rPr>
                <w:rFonts w:hint="eastAsia"/>
                <w:color w:val="auto"/>
                <w:highlight w:val="none"/>
              </w:rPr>
              <w:t>。</w:t>
            </w:r>
          </w:p>
        </w:tc>
      </w:tr>
      <w:tr w14:paraId="6D070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7EDB2605">
            <w:pPr>
              <w:pStyle w:val="38"/>
              <w:spacing w:before="80"/>
              <w:ind w:left="8" w:firstLine="0" w:firstLineChars="0"/>
              <w:jc w:val="center"/>
              <w:rPr>
                <w:color w:val="auto"/>
                <w:highlight w:val="none"/>
              </w:rPr>
            </w:pPr>
            <w:r>
              <w:rPr>
                <w:color w:val="auto"/>
                <w:highlight w:val="none"/>
              </w:rPr>
              <w:t>4</w:t>
            </w:r>
          </w:p>
        </w:tc>
        <w:tc>
          <w:tcPr>
            <w:tcW w:w="1926" w:type="dxa"/>
            <w:gridSpan w:val="2"/>
          </w:tcPr>
          <w:p w14:paraId="638E2E9D">
            <w:pPr>
              <w:pStyle w:val="38"/>
              <w:spacing w:before="64"/>
              <w:ind w:left="108" w:firstLine="0" w:firstLineChars="0"/>
              <w:rPr>
                <w:color w:val="auto"/>
                <w:highlight w:val="none"/>
              </w:rPr>
            </w:pPr>
            <w:r>
              <w:rPr>
                <w:color w:val="auto"/>
                <w:highlight w:val="none"/>
              </w:rPr>
              <w:t>地块防洪标高</w:t>
            </w:r>
          </w:p>
        </w:tc>
        <w:tc>
          <w:tcPr>
            <w:tcW w:w="1926" w:type="dxa"/>
          </w:tcPr>
          <w:p w14:paraId="58AC3908">
            <w:pPr>
              <w:pStyle w:val="38"/>
              <w:ind w:firstLine="0" w:firstLineChars="0"/>
              <w:rPr>
                <w:color w:val="auto"/>
                <w:highlight w:val="none"/>
              </w:rPr>
            </w:pPr>
          </w:p>
        </w:tc>
        <w:tc>
          <w:tcPr>
            <w:tcW w:w="1926" w:type="dxa"/>
          </w:tcPr>
          <w:p w14:paraId="60BF4C4E">
            <w:pPr>
              <w:pStyle w:val="38"/>
              <w:spacing w:before="64"/>
              <w:ind w:left="108" w:firstLine="0" w:firstLineChars="0"/>
              <w:rPr>
                <w:color w:val="auto"/>
                <w:highlight w:val="none"/>
              </w:rPr>
            </w:pPr>
            <w:r>
              <w:rPr>
                <w:color w:val="auto"/>
                <w:highlight w:val="none"/>
              </w:rPr>
              <w:t>室外地坪标高</w:t>
            </w:r>
          </w:p>
        </w:tc>
        <w:tc>
          <w:tcPr>
            <w:tcW w:w="2530" w:type="dxa"/>
          </w:tcPr>
          <w:p w14:paraId="658F563E">
            <w:pPr>
              <w:pStyle w:val="38"/>
              <w:ind w:firstLine="0" w:firstLineChars="0"/>
              <w:rPr>
                <w:color w:val="auto"/>
                <w:highlight w:val="none"/>
              </w:rPr>
            </w:pPr>
          </w:p>
        </w:tc>
      </w:tr>
      <w:tr w14:paraId="391D4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742DF15E">
            <w:pPr>
              <w:pStyle w:val="38"/>
              <w:spacing w:before="80"/>
              <w:ind w:left="8" w:firstLine="0" w:firstLineChars="0"/>
              <w:jc w:val="center"/>
              <w:rPr>
                <w:color w:val="auto"/>
                <w:highlight w:val="none"/>
              </w:rPr>
            </w:pPr>
            <w:r>
              <w:rPr>
                <w:color w:val="auto"/>
                <w:highlight w:val="none"/>
              </w:rPr>
              <w:t>5</w:t>
            </w:r>
          </w:p>
        </w:tc>
        <w:tc>
          <w:tcPr>
            <w:tcW w:w="1926" w:type="dxa"/>
            <w:gridSpan w:val="2"/>
          </w:tcPr>
          <w:p w14:paraId="1067ED4D">
            <w:pPr>
              <w:pStyle w:val="38"/>
              <w:spacing w:before="64"/>
              <w:ind w:left="108" w:firstLine="0" w:firstLineChars="0"/>
              <w:rPr>
                <w:color w:val="auto"/>
                <w:highlight w:val="none"/>
              </w:rPr>
            </w:pPr>
            <w:r>
              <w:rPr>
                <w:color w:val="auto"/>
                <w:highlight w:val="none"/>
              </w:rPr>
              <w:t>排水体制</w:t>
            </w:r>
          </w:p>
        </w:tc>
        <w:tc>
          <w:tcPr>
            <w:tcW w:w="1926" w:type="dxa"/>
          </w:tcPr>
          <w:p w14:paraId="2366D43E">
            <w:pPr>
              <w:pStyle w:val="38"/>
              <w:spacing w:before="64"/>
              <w:ind w:left="108" w:firstLine="0" w:firstLineChars="0"/>
              <w:rPr>
                <w:color w:val="auto"/>
                <w:highlight w:val="none"/>
              </w:rPr>
            </w:pPr>
            <w:r>
              <w:rPr>
                <w:color w:val="auto"/>
                <w:highlight w:val="none"/>
              </w:rPr>
              <w:t>合流</w:t>
            </w:r>
            <w:r>
              <w:rPr>
                <w:rFonts w:hint="eastAsia"/>
                <w:color w:val="auto"/>
                <w:highlight w:val="none"/>
                <w:lang w:val="en-US" w:eastAsia="zh-CN"/>
              </w:rPr>
              <w:t xml:space="preserve"> </w:t>
            </w:r>
            <w:r>
              <w:rPr>
                <w:rFonts w:eastAsia="Times New Roman"/>
                <w:color w:val="auto"/>
                <w:highlight w:val="none"/>
              </w:rPr>
              <w:t>/</w:t>
            </w:r>
            <w:r>
              <w:rPr>
                <w:rFonts w:hint="eastAsia"/>
                <w:color w:val="auto"/>
                <w:highlight w:val="none"/>
                <w:lang w:val="en-US" w:eastAsia="zh-CN"/>
              </w:rPr>
              <w:t xml:space="preserve"> </w:t>
            </w:r>
            <w:r>
              <w:rPr>
                <w:color w:val="auto"/>
                <w:highlight w:val="none"/>
              </w:rPr>
              <w:t>分流</w:t>
            </w:r>
            <w:r>
              <w:rPr>
                <w:rFonts w:ascii="Arial" w:hAnsi="Arial" w:cs="Arial"/>
                <w:color w:val="auto"/>
                <w:highlight w:val="none"/>
              </w:rPr>
              <w:t>√</w:t>
            </w:r>
          </w:p>
        </w:tc>
        <w:tc>
          <w:tcPr>
            <w:tcW w:w="1926" w:type="dxa"/>
          </w:tcPr>
          <w:p w14:paraId="79244924">
            <w:pPr>
              <w:pStyle w:val="38"/>
              <w:ind w:firstLine="0" w:firstLineChars="0"/>
              <w:rPr>
                <w:color w:val="auto"/>
                <w:highlight w:val="none"/>
              </w:rPr>
            </w:pPr>
          </w:p>
        </w:tc>
        <w:tc>
          <w:tcPr>
            <w:tcW w:w="2530" w:type="dxa"/>
          </w:tcPr>
          <w:p w14:paraId="28DF6B5B">
            <w:pPr>
              <w:pStyle w:val="38"/>
              <w:ind w:firstLine="0" w:firstLineChars="0"/>
              <w:rPr>
                <w:color w:val="auto"/>
                <w:highlight w:val="none"/>
              </w:rPr>
            </w:pPr>
          </w:p>
        </w:tc>
      </w:tr>
      <w:tr w14:paraId="4247F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817" w:type="dxa"/>
          </w:tcPr>
          <w:p w14:paraId="637B910F">
            <w:pPr>
              <w:pStyle w:val="38"/>
              <w:spacing w:before="79"/>
              <w:ind w:left="8" w:firstLine="0" w:firstLineChars="0"/>
              <w:jc w:val="center"/>
              <w:rPr>
                <w:color w:val="auto"/>
                <w:highlight w:val="none"/>
              </w:rPr>
            </w:pPr>
            <w:r>
              <w:rPr>
                <w:color w:val="auto"/>
                <w:highlight w:val="none"/>
              </w:rPr>
              <w:t>6</w:t>
            </w:r>
          </w:p>
        </w:tc>
        <w:tc>
          <w:tcPr>
            <w:tcW w:w="1926" w:type="dxa"/>
            <w:gridSpan w:val="2"/>
          </w:tcPr>
          <w:p w14:paraId="7931D429">
            <w:pPr>
              <w:pStyle w:val="38"/>
              <w:spacing w:before="63"/>
              <w:ind w:left="108" w:firstLine="0" w:firstLineChars="0"/>
              <w:rPr>
                <w:color w:val="auto"/>
                <w:highlight w:val="none"/>
              </w:rPr>
            </w:pPr>
            <w:r>
              <w:rPr>
                <w:color w:val="auto"/>
                <w:highlight w:val="none"/>
              </w:rPr>
              <w:t>建设前总雨水径</w:t>
            </w:r>
          </w:p>
          <w:p w14:paraId="44B39130">
            <w:pPr>
              <w:pStyle w:val="38"/>
              <w:spacing w:before="128"/>
              <w:ind w:left="108" w:firstLine="0" w:firstLineChars="0"/>
              <w:rPr>
                <w:color w:val="auto"/>
                <w:highlight w:val="none"/>
              </w:rPr>
            </w:pPr>
            <w:r>
              <w:rPr>
                <w:color w:val="auto"/>
                <w:highlight w:val="none"/>
              </w:rPr>
              <w:t>流量</w:t>
            </w:r>
          </w:p>
        </w:tc>
        <w:tc>
          <w:tcPr>
            <w:tcW w:w="1926" w:type="dxa"/>
            <w:vAlign w:val="center"/>
          </w:tcPr>
          <w:p w14:paraId="0A998152">
            <w:pPr>
              <w:pStyle w:val="38"/>
              <w:ind w:firstLine="0" w:firstLineChars="0"/>
              <w:jc w:val="center"/>
              <w:rPr>
                <w:rFonts w:eastAsiaTheme="minorEastAsia"/>
                <w:color w:val="auto"/>
                <w:highlight w:val="none"/>
              </w:rPr>
            </w:pPr>
            <w:r>
              <w:rPr>
                <w:rFonts w:hint="eastAsia" w:ascii="宋体" w:hAnsi="宋体" w:cs="宋体"/>
                <w:color w:val="auto"/>
                <w:sz w:val="24"/>
                <w:szCs w:val="24"/>
                <w:highlight w:val="yellow"/>
                <w:lang w:val="en-US" w:eastAsia="zh-CN"/>
              </w:rPr>
              <w:t xml:space="preserve">130.67 </w:t>
            </w:r>
            <w:r>
              <w:rPr>
                <w:rFonts w:hint="eastAsia" w:cs="宋体" w:asciiTheme="minorEastAsia" w:hAnsiTheme="minorEastAsia"/>
                <w:color w:val="auto"/>
                <w:kern w:val="0"/>
                <w:highlight w:val="none"/>
              </w:rPr>
              <w:t>L/s</w:t>
            </w:r>
          </w:p>
        </w:tc>
        <w:tc>
          <w:tcPr>
            <w:tcW w:w="1926" w:type="dxa"/>
          </w:tcPr>
          <w:p w14:paraId="20153727">
            <w:pPr>
              <w:pStyle w:val="38"/>
              <w:spacing w:before="63"/>
              <w:ind w:left="108" w:firstLine="0" w:firstLineChars="0"/>
              <w:rPr>
                <w:color w:val="auto"/>
                <w:highlight w:val="none"/>
              </w:rPr>
            </w:pPr>
            <w:r>
              <w:rPr>
                <w:color w:val="auto"/>
                <w:highlight w:val="none"/>
              </w:rPr>
              <w:t>建设后总雨水径</w:t>
            </w:r>
          </w:p>
          <w:p w14:paraId="47C4231A">
            <w:pPr>
              <w:pStyle w:val="38"/>
              <w:spacing w:before="128"/>
              <w:ind w:left="108" w:firstLine="0" w:firstLineChars="0"/>
              <w:rPr>
                <w:color w:val="auto"/>
                <w:highlight w:val="none"/>
              </w:rPr>
            </w:pPr>
            <w:r>
              <w:rPr>
                <w:color w:val="auto"/>
                <w:highlight w:val="none"/>
              </w:rPr>
              <w:t>流量</w:t>
            </w:r>
          </w:p>
        </w:tc>
        <w:tc>
          <w:tcPr>
            <w:tcW w:w="2530" w:type="dxa"/>
            <w:vAlign w:val="center"/>
          </w:tcPr>
          <w:p w14:paraId="6A53D6EB">
            <w:pPr>
              <w:pStyle w:val="38"/>
              <w:ind w:firstLine="0" w:firstLineChars="0"/>
              <w:jc w:val="center"/>
              <w:rPr>
                <w:color w:val="auto"/>
                <w:highlight w:val="none"/>
              </w:rPr>
            </w:pPr>
            <w:r>
              <w:rPr>
                <w:rFonts w:hint="eastAsia" w:ascii="宋体" w:hAnsi="宋体" w:cs="宋体"/>
                <w:color w:val="auto"/>
                <w:sz w:val="24"/>
                <w:szCs w:val="24"/>
                <w:highlight w:val="yellow"/>
                <w:lang w:val="en-US" w:eastAsia="zh-CN"/>
              </w:rPr>
              <w:t xml:space="preserve">379.17 </w:t>
            </w:r>
            <w:r>
              <w:rPr>
                <w:rFonts w:hint="eastAsia" w:cs="宋体" w:asciiTheme="minorEastAsia" w:hAnsiTheme="minorEastAsia"/>
                <w:color w:val="auto"/>
                <w:kern w:val="0"/>
                <w:highlight w:val="none"/>
              </w:rPr>
              <w:t>L/s</w:t>
            </w:r>
          </w:p>
        </w:tc>
      </w:tr>
      <w:tr w14:paraId="2CFAD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371D018A">
            <w:pPr>
              <w:pStyle w:val="38"/>
              <w:ind w:firstLine="0" w:firstLineChars="0"/>
              <w:rPr>
                <w:color w:val="auto"/>
                <w:highlight w:val="none"/>
              </w:rPr>
            </w:pPr>
          </w:p>
        </w:tc>
        <w:tc>
          <w:tcPr>
            <w:tcW w:w="3852" w:type="dxa"/>
            <w:gridSpan w:val="3"/>
          </w:tcPr>
          <w:p w14:paraId="5C76945A">
            <w:pPr>
              <w:pStyle w:val="38"/>
              <w:spacing w:before="39"/>
              <w:ind w:left="1342" w:right="1335" w:firstLine="0" w:firstLineChars="0"/>
              <w:jc w:val="center"/>
              <w:rPr>
                <w:b/>
                <w:color w:val="auto"/>
                <w:sz w:val="28"/>
                <w:highlight w:val="none"/>
              </w:rPr>
            </w:pPr>
            <w:r>
              <w:rPr>
                <w:b/>
                <w:color w:val="auto"/>
                <w:sz w:val="28"/>
                <w:highlight w:val="none"/>
              </w:rPr>
              <w:t>评价指标</w:t>
            </w:r>
          </w:p>
        </w:tc>
        <w:tc>
          <w:tcPr>
            <w:tcW w:w="1926" w:type="dxa"/>
          </w:tcPr>
          <w:p w14:paraId="2C3ABE05">
            <w:pPr>
              <w:pStyle w:val="38"/>
              <w:spacing w:before="39"/>
              <w:ind w:left="541" w:firstLine="0" w:firstLineChars="0"/>
              <w:rPr>
                <w:b/>
                <w:color w:val="auto"/>
                <w:sz w:val="28"/>
                <w:highlight w:val="none"/>
              </w:rPr>
            </w:pPr>
            <w:r>
              <w:rPr>
                <w:b/>
                <w:color w:val="auto"/>
                <w:sz w:val="28"/>
                <w:highlight w:val="none"/>
              </w:rPr>
              <w:t>目标值</w:t>
            </w:r>
          </w:p>
        </w:tc>
        <w:tc>
          <w:tcPr>
            <w:tcW w:w="2530" w:type="dxa"/>
          </w:tcPr>
          <w:p w14:paraId="78FEB1D8">
            <w:pPr>
              <w:pStyle w:val="38"/>
              <w:spacing w:before="39"/>
              <w:ind w:left="541" w:firstLine="0" w:firstLineChars="0"/>
              <w:rPr>
                <w:b/>
                <w:color w:val="auto"/>
                <w:sz w:val="28"/>
                <w:highlight w:val="none"/>
              </w:rPr>
            </w:pPr>
            <w:r>
              <w:rPr>
                <w:b/>
                <w:color w:val="auto"/>
                <w:sz w:val="28"/>
                <w:highlight w:val="none"/>
              </w:rPr>
              <w:t>完成值</w:t>
            </w:r>
          </w:p>
        </w:tc>
      </w:tr>
      <w:tr w14:paraId="53B3E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591C85C0">
            <w:pPr>
              <w:pStyle w:val="38"/>
              <w:spacing w:before="80"/>
              <w:ind w:left="8" w:firstLine="0" w:firstLineChars="0"/>
              <w:jc w:val="center"/>
              <w:rPr>
                <w:color w:val="auto"/>
                <w:highlight w:val="none"/>
              </w:rPr>
            </w:pPr>
            <w:r>
              <w:rPr>
                <w:color w:val="auto"/>
                <w:highlight w:val="none"/>
              </w:rPr>
              <w:t>7</w:t>
            </w:r>
          </w:p>
        </w:tc>
        <w:tc>
          <w:tcPr>
            <w:tcW w:w="3852" w:type="dxa"/>
            <w:gridSpan w:val="3"/>
            <w:vAlign w:val="center"/>
          </w:tcPr>
          <w:p w14:paraId="6F481F7F">
            <w:pPr>
              <w:pStyle w:val="38"/>
              <w:spacing w:before="47" w:line="240" w:lineRule="auto"/>
              <w:ind w:firstLine="0" w:firstLineChars="0"/>
              <w:jc w:val="center"/>
              <w:rPr>
                <w:color w:val="auto"/>
                <w:highlight w:val="none"/>
              </w:rPr>
            </w:pPr>
            <w:r>
              <w:rPr>
                <w:color w:val="auto"/>
                <w:highlight w:val="none"/>
              </w:rPr>
              <w:t>年径流总量控制率</w:t>
            </w:r>
          </w:p>
        </w:tc>
        <w:tc>
          <w:tcPr>
            <w:tcW w:w="1926" w:type="dxa"/>
            <w:vAlign w:val="center"/>
          </w:tcPr>
          <w:p w14:paraId="41235C74">
            <w:pPr>
              <w:pStyle w:val="38"/>
              <w:ind w:firstLine="0" w:firstLineChars="0"/>
              <w:jc w:val="center"/>
              <w:rPr>
                <w:rFonts w:eastAsiaTheme="minorEastAsia"/>
                <w:color w:val="auto"/>
                <w:highlight w:val="none"/>
              </w:rPr>
            </w:pPr>
            <w:r>
              <w:rPr>
                <w:rFonts w:hint="eastAsia"/>
                <w:color w:val="auto"/>
                <w:highlight w:val="none"/>
              </w:rPr>
              <w:t>70%</w:t>
            </w:r>
          </w:p>
        </w:tc>
        <w:tc>
          <w:tcPr>
            <w:tcW w:w="2530" w:type="dxa"/>
            <w:vAlign w:val="center"/>
          </w:tcPr>
          <w:p w14:paraId="03E84F0F">
            <w:pPr>
              <w:pStyle w:val="38"/>
              <w:ind w:firstLine="0" w:firstLineChars="0"/>
              <w:jc w:val="center"/>
              <w:rPr>
                <w:color w:val="auto"/>
                <w:highlight w:val="none"/>
              </w:rPr>
            </w:pPr>
            <w:r>
              <w:rPr>
                <w:rFonts w:hint="eastAsia"/>
                <w:color w:val="auto"/>
                <w:highlight w:val="none"/>
              </w:rPr>
              <w:t>9</w:t>
            </w:r>
            <w:r>
              <w:rPr>
                <w:rFonts w:hint="eastAsia"/>
                <w:color w:val="auto"/>
                <w:highlight w:val="none"/>
                <w:lang w:val="en-US" w:eastAsia="zh-CN"/>
              </w:rPr>
              <w:t>8</w:t>
            </w:r>
            <w:r>
              <w:rPr>
                <w:rFonts w:hint="eastAsia"/>
                <w:color w:val="auto"/>
                <w:highlight w:val="none"/>
              </w:rPr>
              <w:t>%</w:t>
            </w:r>
          </w:p>
        </w:tc>
      </w:tr>
      <w:tr w14:paraId="295D7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79E5D90B">
            <w:pPr>
              <w:pStyle w:val="38"/>
              <w:spacing w:before="79"/>
              <w:ind w:left="8" w:firstLine="0" w:firstLineChars="0"/>
              <w:jc w:val="center"/>
              <w:rPr>
                <w:color w:val="auto"/>
                <w:highlight w:val="none"/>
              </w:rPr>
            </w:pPr>
            <w:r>
              <w:rPr>
                <w:color w:val="auto"/>
                <w:highlight w:val="none"/>
              </w:rPr>
              <w:t>8</w:t>
            </w:r>
          </w:p>
        </w:tc>
        <w:tc>
          <w:tcPr>
            <w:tcW w:w="3852" w:type="dxa"/>
            <w:gridSpan w:val="3"/>
            <w:vAlign w:val="center"/>
          </w:tcPr>
          <w:p w14:paraId="1E4A8F2B">
            <w:pPr>
              <w:pStyle w:val="38"/>
              <w:spacing w:before="46" w:line="240" w:lineRule="auto"/>
              <w:ind w:firstLine="0" w:firstLineChars="0"/>
              <w:jc w:val="center"/>
              <w:rPr>
                <w:color w:val="auto"/>
                <w:highlight w:val="none"/>
              </w:rPr>
            </w:pPr>
            <w:r>
              <w:rPr>
                <w:color w:val="auto"/>
                <w:highlight w:val="none"/>
              </w:rPr>
              <w:t>年径流污染削减率</w:t>
            </w:r>
          </w:p>
        </w:tc>
        <w:tc>
          <w:tcPr>
            <w:tcW w:w="1926" w:type="dxa"/>
            <w:vAlign w:val="center"/>
          </w:tcPr>
          <w:p w14:paraId="55F63EF0">
            <w:pPr>
              <w:pStyle w:val="38"/>
              <w:ind w:firstLine="0" w:firstLineChars="0"/>
              <w:jc w:val="center"/>
              <w:rPr>
                <w:rFonts w:eastAsiaTheme="minorEastAsia"/>
                <w:color w:val="auto"/>
                <w:highlight w:val="none"/>
              </w:rPr>
            </w:pPr>
            <w:r>
              <w:rPr>
                <w:rFonts w:hint="eastAsia"/>
                <w:color w:val="auto"/>
                <w:highlight w:val="none"/>
              </w:rPr>
              <w:t>50%</w:t>
            </w:r>
          </w:p>
        </w:tc>
        <w:tc>
          <w:tcPr>
            <w:tcW w:w="2530" w:type="dxa"/>
            <w:vAlign w:val="center"/>
          </w:tcPr>
          <w:p w14:paraId="264A94E6">
            <w:pPr>
              <w:pStyle w:val="38"/>
              <w:ind w:firstLine="0" w:firstLineChars="0"/>
              <w:jc w:val="center"/>
              <w:rPr>
                <w:color w:val="auto"/>
                <w:highlight w:val="none"/>
              </w:rPr>
            </w:pPr>
            <w:r>
              <w:rPr>
                <w:rFonts w:hint="eastAsia"/>
                <w:color w:val="auto"/>
                <w:highlight w:val="none"/>
              </w:rPr>
              <w:t>7</w:t>
            </w:r>
            <w:r>
              <w:rPr>
                <w:rFonts w:hint="eastAsia"/>
                <w:color w:val="auto"/>
                <w:highlight w:val="none"/>
                <w:lang w:val="en-US" w:eastAsia="zh-CN"/>
              </w:rPr>
              <w:t>3.5</w:t>
            </w:r>
            <w:r>
              <w:rPr>
                <w:rFonts w:hint="eastAsia"/>
                <w:color w:val="auto"/>
                <w:highlight w:val="none"/>
              </w:rPr>
              <w:t>%</w:t>
            </w:r>
          </w:p>
        </w:tc>
      </w:tr>
      <w:tr w14:paraId="702D1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2E8DBAE8">
            <w:pPr>
              <w:pStyle w:val="38"/>
              <w:spacing w:before="79"/>
              <w:ind w:left="8" w:firstLine="0" w:firstLineChars="0"/>
              <w:jc w:val="center"/>
              <w:rPr>
                <w:color w:val="auto"/>
                <w:highlight w:val="none"/>
              </w:rPr>
            </w:pPr>
            <w:r>
              <w:rPr>
                <w:color w:val="auto"/>
                <w:highlight w:val="none"/>
              </w:rPr>
              <w:t>9</w:t>
            </w:r>
          </w:p>
        </w:tc>
        <w:tc>
          <w:tcPr>
            <w:tcW w:w="3852" w:type="dxa"/>
            <w:gridSpan w:val="3"/>
          </w:tcPr>
          <w:p w14:paraId="081D59A9">
            <w:pPr>
              <w:pStyle w:val="38"/>
              <w:spacing w:before="47" w:line="240" w:lineRule="auto"/>
              <w:ind w:right="-130" w:firstLine="0" w:firstLineChars="0"/>
              <w:jc w:val="center"/>
              <w:rPr>
                <w:color w:val="auto"/>
                <w:highlight w:val="none"/>
              </w:rPr>
            </w:pPr>
            <w:r>
              <w:rPr>
                <w:color w:val="auto"/>
                <w:spacing w:val="-3"/>
                <w:highlight w:val="none"/>
              </w:rPr>
              <w:t>人行道、自行车道、步行街、</w:t>
            </w:r>
            <w:r>
              <w:rPr>
                <w:color w:val="auto"/>
                <w:highlight w:val="none"/>
              </w:rPr>
              <w:t>室外</w:t>
            </w:r>
          </w:p>
          <w:p w14:paraId="4184E88D">
            <w:pPr>
              <w:pStyle w:val="38"/>
              <w:spacing w:before="47" w:line="240" w:lineRule="auto"/>
              <w:ind w:right="-130" w:firstLine="0" w:firstLineChars="0"/>
              <w:jc w:val="center"/>
              <w:rPr>
                <w:color w:val="auto"/>
                <w:highlight w:val="none"/>
              </w:rPr>
            </w:pPr>
            <w:r>
              <w:rPr>
                <w:color w:val="auto"/>
                <w:highlight w:val="none"/>
              </w:rPr>
              <w:t>停</w:t>
            </w:r>
            <w:r>
              <w:rPr>
                <w:rFonts w:hint="eastAsia"/>
                <w:color w:val="auto"/>
                <w:highlight w:val="none"/>
              </w:rPr>
              <w:t>车</w:t>
            </w:r>
            <w:r>
              <w:rPr>
                <w:color w:val="auto"/>
                <w:highlight w:val="none"/>
              </w:rPr>
              <w:t>场透水铺装率</w:t>
            </w:r>
          </w:p>
        </w:tc>
        <w:tc>
          <w:tcPr>
            <w:tcW w:w="1926" w:type="dxa"/>
            <w:vAlign w:val="center"/>
          </w:tcPr>
          <w:p w14:paraId="6622896E">
            <w:pPr>
              <w:pStyle w:val="38"/>
              <w:ind w:firstLine="0" w:firstLineChars="0"/>
              <w:jc w:val="center"/>
              <w:rPr>
                <w:rFonts w:eastAsiaTheme="minorEastAsia"/>
                <w:color w:val="auto"/>
                <w:highlight w:val="none"/>
              </w:rPr>
            </w:pPr>
            <w:r>
              <w:rPr>
                <w:rFonts w:hint="eastAsia"/>
                <w:color w:val="auto"/>
                <w:highlight w:val="none"/>
              </w:rPr>
              <w:t>70%</w:t>
            </w:r>
          </w:p>
        </w:tc>
        <w:tc>
          <w:tcPr>
            <w:tcW w:w="2530" w:type="dxa"/>
            <w:vAlign w:val="center"/>
          </w:tcPr>
          <w:p w14:paraId="75129281">
            <w:pPr>
              <w:pStyle w:val="38"/>
              <w:ind w:firstLine="0" w:firstLineChars="0"/>
              <w:jc w:val="center"/>
              <w:rPr>
                <w:rFonts w:eastAsiaTheme="minorEastAsia"/>
                <w:color w:val="auto"/>
                <w:highlight w:val="none"/>
              </w:rPr>
            </w:pPr>
            <w:r>
              <w:rPr>
                <w:rFonts w:hint="eastAsia"/>
                <w:bCs/>
                <w:color w:val="auto"/>
                <w:highlight w:val="none"/>
                <w:lang w:val="en-US" w:eastAsia="zh-CN"/>
              </w:rPr>
              <w:t>32.92</w:t>
            </w:r>
            <w:r>
              <w:rPr>
                <w:rFonts w:hint="eastAsia"/>
                <w:color w:val="auto"/>
                <w:highlight w:val="none"/>
              </w:rPr>
              <w:t>%</w:t>
            </w:r>
          </w:p>
        </w:tc>
      </w:tr>
      <w:tr w14:paraId="2A6A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2700E121">
            <w:pPr>
              <w:pStyle w:val="38"/>
              <w:spacing w:before="79"/>
              <w:ind w:left="264" w:right="256" w:firstLine="0" w:firstLineChars="0"/>
              <w:jc w:val="center"/>
              <w:rPr>
                <w:color w:val="auto"/>
                <w:highlight w:val="none"/>
              </w:rPr>
            </w:pPr>
            <w:r>
              <w:rPr>
                <w:color w:val="auto"/>
                <w:highlight w:val="none"/>
              </w:rPr>
              <w:t>10</w:t>
            </w:r>
          </w:p>
        </w:tc>
        <w:tc>
          <w:tcPr>
            <w:tcW w:w="3852" w:type="dxa"/>
            <w:gridSpan w:val="3"/>
          </w:tcPr>
          <w:p w14:paraId="0406D0B6">
            <w:pPr>
              <w:pStyle w:val="38"/>
              <w:spacing w:before="11" w:line="240" w:lineRule="auto"/>
              <w:ind w:firstLine="0" w:firstLineChars="0"/>
              <w:jc w:val="center"/>
              <w:rPr>
                <w:color w:val="auto"/>
                <w:highlight w:val="none"/>
              </w:rPr>
            </w:pPr>
            <w:r>
              <w:rPr>
                <w:color w:val="auto"/>
                <w:highlight w:val="none"/>
              </w:rPr>
              <w:t>一般城市道路绿地率</w:t>
            </w:r>
          </w:p>
        </w:tc>
        <w:tc>
          <w:tcPr>
            <w:tcW w:w="1926" w:type="dxa"/>
            <w:vAlign w:val="center"/>
          </w:tcPr>
          <w:p w14:paraId="0B3D86BC">
            <w:pPr>
              <w:pStyle w:val="38"/>
              <w:ind w:firstLine="0" w:firstLineChars="0"/>
              <w:jc w:val="center"/>
              <w:rPr>
                <w:rFonts w:eastAsiaTheme="minorEastAsia"/>
                <w:color w:val="auto"/>
                <w:highlight w:val="none"/>
              </w:rPr>
            </w:pPr>
            <w:r>
              <w:rPr>
                <w:rFonts w:hint="eastAsia"/>
                <w:color w:val="auto"/>
                <w:highlight w:val="none"/>
              </w:rPr>
              <w:t>15%</w:t>
            </w:r>
          </w:p>
        </w:tc>
        <w:tc>
          <w:tcPr>
            <w:tcW w:w="2530" w:type="dxa"/>
            <w:vAlign w:val="center"/>
          </w:tcPr>
          <w:p w14:paraId="6BFE14BF">
            <w:pPr>
              <w:pStyle w:val="38"/>
              <w:ind w:firstLine="0" w:firstLineChars="0"/>
              <w:jc w:val="center"/>
              <w:rPr>
                <w:color w:val="auto"/>
                <w:highlight w:val="none"/>
              </w:rPr>
            </w:pPr>
            <w:r>
              <w:rPr>
                <w:rFonts w:hint="eastAsia"/>
                <w:bCs/>
                <w:color w:val="auto"/>
                <w:highlight w:val="none"/>
                <w:lang w:val="en-US" w:eastAsia="zh-CN"/>
              </w:rPr>
              <w:t>36.23</w:t>
            </w:r>
            <w:r>
              <w:rPr>
                <w:rFonts w:hint="eastAsia"/>
                <w:color w:val="auto"/>
                <w:highlight w:val="none"/>
              </w:rPr>
              <w:t>%</w:t>
            </w:r>
          </w:p>
        </w:tc>
      </w:tr>
      <w:tr w14:paraId="253D6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817" w:type="dxa"/>
          </w:tcPr>
          <w:p w14:paraId="4346A2E5">
            <w:pPr>
              <w:pStyle w:val="38"/>
              <w:spacing w:before="79"/>
              <w:ind w:left="260" w:right="259" w:firstLine="0" w:firstLineChars="0"/>
              <w:jc w:val="center"/>
              <w:rPr>
                <w:color w:val="auto"/>
                <w:highlight w:val="none"/>
              </w:rPr>
            </w:pPr>
            <w:r>
              <w:rPr>
                <w:color w:val="auto"/>
                <w:highlight w:val="none"/>
              </w:rPr>
              <w:t>11</w:t>
            </w:r>
          </w:p>
        </w:tc>
        <w:tc>
          <w:tcPr>
            <w:tcW w:w="3852" w:type="dxa"/>
            <w:gridSpan w:val="3"/>
          </w:tcPr>
          <w:p w14:paraId="25CB12C2">
            <w:pPr>
              <w:pStyle w:val="38"/>
              <w:spacing w:before="47" w:line="240" w:lineRule="auto"/>
              <w:ind w:firstLine="0" w:firstLineChars="0"/>
              <w:jc w:val="center"/>
              <w:rPr>
                <w:color w:val="auto"/>
                <w:highlight w:val="none"/>
              </w:rPr>
            </w:pPr>
            <w:r>
              <w:rPr>
                <w:color w:val="auto"/>
                <w:highlight w:val="none"/>
              </w:rPr>
              <w:t>下沉式绿地率</w:t>
            </w:r>
          </w:p>
        </w:tc>
        <w:tc>
          <w:tcPr>
            <w:tcW w:w="1926" w:type="dxa"/>
            <w:vAlign w:val="center"/>
          </w:tcPr>
          <w:p w14:paraId="2EE115B6">
            <w:pPr>
              <w:pStyle w:val="38"/>
              <w:ind w:firstLine="0" w:firstLineChars="0"/>
              <w:jc w:val="center"/>
              <w:rPr>
                <w:rFonts w:eastAsiaTheme="minorEastAsia"/>
                <w:color w:val="auto"/>
                <w:highlight w:val="none"/>
              </w:rPr>
            </w:pPr>
            <w:r>
              <w:rPr>
                <w:rFonts w:hint="eastAsia"/>
                <w:color w:val="auto"/>
                <w:highlight w:val="none"/>
              </w:rPr>
              <w:t>50%</w:t>
            </w:r>
          </w:p>
        </w:tc>
        <w:tc>
          <w:tcPr>
            <w:tcW w:w="2530" w:type="dxa"/>
            <w:vAlign w:val="center"/>
          </w:tcPr>
          <w:p w14:paraId="7E364C1F">
            <w:pPr>
              <w:pStyle w:val="38"/>
              <w:ind w:firstLine="0" w:firstLineChars="0"/>
              <w:jc w:val="center"/>
              <w:rPr>
                <w:rFonts w:eastAsiaTheme="minorEastAsia"/>
                <w:color w:val="auto"/>
                <w:highlight w:val="none"/>
              </w:rPr>
            </w:pPr>
            <w:r>
              <w:rPr>
                <w:rFonts w:hint="eastAsia"/>
                <w:bCs/>
                <w:color w:val="auto"/>
                <w:highlight w:val="none"/>
                <w:lang w:val="en-US" w:eastAsia="zh-CN"/>
              </w:rPr>
              <w:t>80.77</w:t>
            </w:r>
            <w:r>
              <w:rPr>
                <w:rFonts w:hint="eastAsia"/>
                <w:color w:val="auto"/>
                <w:highlight w:val="none"/>
              </w:rPr>
              <w:t>%</w:t>
            </w:r>
          </w:p>
        </w:tc>
      </w:tr>
      <w:tr w14:paraId="6ABA7F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344AC507">
            <w:pPr>
              <w:pStyle w:val="38"/>
              <w:spacing w:before="80"/>
              <w:ind w:left="264" w:right="256" w:firstLine="0" w:firstLineChars="0"/>
              <w:jc w:val="center"/>
              <w:rPr>
                <w:color w:val="auto"/>
                <w:highlight w:val="none"/>
              </w:rPr>
            </w:pPr>
            <w:r>
              <w:rPr>
                <w:color w:val="auto"/>
                <w:highlight w:val="none"/>
              </w:rPr>
              <w:t>12</w:t>
            </w:r>
          </w:p>
        </w:tc>
        <w:tc>
          <w:tcPr>
            <w:tcW w:w="3852" w:type="dxa"/>
            <w:gridSpan w:val="3"/>
          </w:tcPr>
          <w:p w14:paraId="351C1B5D">
            <w:pPr>
              <w:pStyle w:val="38"/>
              <w:ind w:firstLine="0" w:firstLineChars="0"/>
              <w:rPr>
                <w:color w:val="auto"/>
                <w:highlight w:val="none"/>
              </w:rPr>
            </w:pPr>
          </w:p>
        </w:tc>
        <w:tc>
          <w:tcPr>
            <w:tcW w:w="1926" w:type="dxa"/>
          </w:tcPr>
          <w:p w14:paraId="7F61F514">
            <w:pPr>
              <w:pStyle w:val="38"/>
              <w:ind w:firstLine="0" w:firstLineChars="0"/>
              <w:rPr>
                <w:color w:val="auto"/>
                <w:highlight w:val="none"/>
              </w:rPr>
            </w:pPr>
          </w:p>
        </w:tc>
        <w:tc>
          <w:tcPr>
            <w:tcW w:w="2530" w:type="dxa"/>
          </w:tcPr>
          <w:p w14:paraId="37F9682C">
            <w:pPr>
              <w:pStyle w:val="38"/>
              <w:ind w:firstLine="0" w:firstLineChars="0"/>
              <w:rPr>
                <w:color w:val="auto"/>
                <w:highlight w:val="none"/>
              </w:rPr>
            </w:pPr>
          </w:p>
        </w:tc>
      </w:tr>
      <w:tr w14:paraId="69DE2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3797BC18">
            <w:pPr>
              <w:pStyle w:val="38"/>
              <w:spacing w:before="80"/>
              <w:ind w:left="264" w:right="256" w:firstLine="0" w:firstLineChars="0"/>
              <w:jc w:val="center"/>
              <w:rPr>
                <w:color w:val="auto"/>
                <w:highlight w:val="none"/>
              </w:rPr>
            </w:pPr>
            <w:r>
              <w:rPr>
                <w:color w:val="auto"/>
                <w:highlight w:val="none"/>
              </w:rPr>
              <w:t>13</w:t>
            </w:r>
          </w:p>
        </w:tc>
        <w:tc>
          <w:tcPr>
            <w:tcW w:w="3852" w:type="dxa"/>
            <w:gridSpan w:val="3"/>
          </w:tcPr>
          <w:p w14:paraId="79DD4D8B">
            <w:pPr>
              <w:pStyle w:val="38"/>
              <w:ind w:firstLine="0" w:firstLineChars="0"/>
              <w:rPr>
                <w:color w:val="auto"/>
                <w:highlight w:val="none"/>
              </w:rPr>
            </w:pPr>
          </w:p>
        </w:tc>
        <w:tc>
          <w:tcPr>
            <w:tcW w:w="1926" w:type="dxa"/>
          </w:tcPr>
          <w:p w14:paraId="1D43E5FF">
            <w:pPr>
              <w:pStyle w:val="38"/>
              <w:ind w:firstLine="0" w:firstLineChars="0"/>
              <w:rPr>
                <w:color w:val="auto"/>
                <w:highlight w:val="none"/>
              </w:rPr>
            </w:pPr>
          </w:p>
        </w:tc>
        <w:tc>
          <w:tcPr>
            <w:tcW w:w="2530" w:type="dxa"/>
          </w:tcPr>
          <w:p w14:paraId="32296076">
            <w:pPr>
              <w:pStyle w:val="38"/>
              <w:ind w:firstLine="0" w:firstLineChars="0"/>
              <w:rPr>
                <w:color w:val="auto"/>
                <w:highlight w:val="none"/>
              </w:rPr>
            </w:pPr>
          </w:p>
        </w:tc>
      </w:tr>
      <w:tr w14:paraId="01E106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401FACCE">
            <w:pPr>
              <w:pStyle w:val="38"/>
              <w:spacing w:before="79"/>
              <w:ind w:left="264" w:right="256" w:firstLine="0" w:firstLineChars="0"/>
              <w:jc w:val="center"/>
              <w:rPr>
                <w:color w:val="auto"/>
                <w:highlight w:val="none"/>
              </w:rPr>
            </w:pPr>
            <w:r>
              <w:rPr>
                <w:color w:val="auto"/>
                <w:highlight w:val="none"/>
              </w:rPr>
              <w:t>14</w:t>
            </w:r>
          </w:p>
        </w:tc>
        <w:tc>
          <w:tcPr>
            <w:tcW w:w="3852" w:type="dxa"/>
            <w:gridSpan w:val="3"/>
          </w:tcPr>
          <w:p w14:paraId="25F59331">
            <w:pPr>
              <w:pStyle w:val="38"/>
              <w:ind w:firstLine="0" w:firstLineChars="0"/>
              <w:rPr>
                <w:color w:val="auto"/>
                <w:highlight w:val="none"/>
              </w:rPr>
            </w:pPr>
          </w:p>
        </w:tc>
        <w:tc>
          <w:tcPr>
            <w:tcW w:w="1926" w:type="dxa"/>
          </w:tcPr>
          <w:p w14:paraId="483A72A2">
            <w:pPr>
              <w:pStyle w:val="38"/>
              <w:ind w:firstLine="0" w:firstLineChars="0"/>
              <w:rPr>
                <w:color w:val="auto"/>
                <w:highlight w:val="none"/>
              </w:rPr>
            </w:pPr>
          </w:p>
        </w:tc>
        <w:tc>
          <w:tcPr>
            <w:tcW w:w="2530" w:type="dxa"/>
          </w:tcPr>
          <w:p w14:paraId="6CE7607B">
            <w:pPr>
              <w:pStyle w:val="38"/>
              <w:ind w:firstLine="0" w:firstLineChars="0"/>
              <w:rPr>
                <w:color w:val="auto"/>
                <w:highlight w:val="none"/>
              </w:rPr>
            </w:pPr>
          </w:p>
        </w:tc>
      </w:tr>
      <w:tr w14:paraId="49B16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709C5537">
            <w:pPr>
              <w:pStyle w:val="38"/>
              <w:spacing w:before="79"/>
              <w:ind w:left="264" w:right="256" w:firstLine="0" w:firstLineChars="0"/>
              <w:jc w:val="center"/>
              <w:rPr>
                <w:color w:val="auto"/>
                <w:highlight w:val="none"/>
              </w:rPr>
            </w:pPr>
            <w:r>
              <w:rPr>
                <w:color w:val="auto"/>
                <w:highlight w:val="none"/>
              </w:rPr>
              <w:t>15</w:t>
            </w:r>
          </w:p>
        </w:tc>
        <w:tc>
          <w:tcPr>
            <w:tcW w:w="3852" w:type="dxa"/>
            <w:gridSpan w:val="3"/>
          </w:tcPr>
          <w:p w14:paraId="005D2308">
            <w:pPr>
              <w:pStyle w:val="38"/>
              <w:ind w:firstLine="0" w:firstLineChars="0"/>
              <w:rPr>
                <w:color w:val="auto"/>
                <w:highlight w:val="none"/>
              </w:rPr>
            </w:pPr>
          </w:p>
        </w:tc>
        <w:tc>
          <w:tcPr>
            <w:tcW w:w="1926" w:type="dxa"/>
          </w:tcPr>
          <w:p w14:paraId="3B6E7CE0">
            <w:pPr>
              <w:pStyle w:val="38"/>
              <w:ind w:firstLine="0" w:firstLineChars="0"/>
              <w:rPr>
                <w:color w:val="auto"/>
                <w:highlight w:val="none"/>
              </w:rPr>
            </w:pPr>
          </w:p>
        </w:tc>
        <w:tc>
          <w:tcPr>
            <w:tcW w:w="2530" w:type="dxa"/>
          </w:tcPr>
          <w:p w14:paraId="2D8D316B">
            <w:pPr>
              <w:pStyle w:val="38"/>
              <w:ind w:firstLine="0" w:firstLineChars="0"/>
              <w:rPr>
                <w:color w:val="auto"/>
                <w:highlight w:val="none"/>
              </w:rPr>
            </w:pPr>
          </w:p>
        </w:tc>
      </w:tr>
      <w:tr w14:paraId="7FFA5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17" w:type="dxa"/>
          </w:tcPr>
          <w:p w14:paraId="2F3C6B84">
            <w:pPr>
              <w:pStyle w:val="38"/>
              <w:spacing w:before="79"/>
              <w:ind w:left="264" w:right="256" w:firstLine="0" w:firstLineChars="0"/>
              <w:jc w:val="center"/>
              <w:rPr>
                <w:color w:val="auto"/>
                <w:highlight w:val="none"/>
              </w:rPr>
            </w:pPr>
            <w:r>
              <w:rPr>
                <w:color w:val="auto"/>
                <w:highlight w:val="none"/>
              </w:rPr>
              <w:t>16</w:t>
            </w:r>
          </w:p>
        </w:tc>
        <w:tc>
          <w:tcPr>
            <w:tcW w:w="3852" w:type="dxa"/>
            <w:gridSpan w:val="3"/>
          </w:tcPr>
          <w:p w14:paraId="7B373A93">
            <w:pPr>
              <w:pStyle w:val="38"/>
              <w:ind w:firstLine="0" w:firstLineChars="0"/>
              <w:rPr>
                <w:color w:val="auto"/>
                <w:highlight w:val="none"/>
              </w:rPr>
            </w:pPr>
          </w:p>
        </w:tc>
        <w:tc>
          <w:tcPr>
            <w:tcW w:w="1926" w:type="dxa"/>
          </w:tcPr>
          <w:p w14:paraId="260A4A61">
            <w:pPr>
              <w:pStyle w:val="38"/>
              <w:ind w:firstLine="0" w:firstLineChars="0"/>
              <w:rPr>
                <w:color w:val="auto"/>
                <w:highlight w:val="none"/>
              </w:rPr>
            </w:pPr>
          </w:p>
        </w:tc>
        <w:tc>
          <w:tcPr>
            <w:tcW w:w="2530" w:type="dxa"/>
          </w:tcPr>
          <w:p w14:paraId="748CFEA6">
            <w:pPr>
              <w:pStyle w:val="38"/>
              <w:ind w:firstLine="0" w:firstLineChars="0"/>
              <w:rPr>
                <w:color w:val="auto"/>
                <w:highlight w:val="none"/>
              </w:rPr>
            </w:pPr>
          </w:p>
        </w:tc>
      </w:tr>
      <w:tr w14:paraId="3766B4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817" w:type="dxa"/>
          </w:tcPr>
          <w:p w14:paraId="4385E57C">
            <w:pPr>
              <w:pStyle w:val="38"/>
              <w:spacing w:before="79"/>
              <w:ind w:left="264" w:right="256" w:firstLine="0" w:firstLineChars="0"/>
              <w:jc w:val="center"/>
              <w:rPr>
                <w:color w:val="auto"/>
                <w:highlight w:val="none"/>
              </w:rPr>
            </w:pPr>
            <w:r>
              <w:rPr>
                <w:color w:val="auto"/>
                <w:highlight w:val="none"/>
              </w:rPr>
              <w:t>17</w:t>
            </w:r>
          </w:p>
        </w:tc>
        <w:tc>
          <w:tcPr>
            <w:tcW w:w="3852" w:type="dxa"/>
            <w:gridSpan w:val="3"/>
          </w:tcPr>
          <w:p w14:paraId="70A461E8">
            <w:pPr>
              <w:pStyle w:val="38"/>
              <w:ind w:firstLine="0" w:firstLineChars="0"/>
              <w:rPr>
                <w:color w:val="auto"/>
                <w:highlight w:val="none"/>
              </w:rPr>
            </w:pPr>
          </w:p>
        </w:tc>
        <w:tc>
          <w:tcPr>
            <w:tcW w:w="1926" w:type="dxa"/>
          </w:tcPr>
          <w:p w14:paraId="5A838B8F">
            <w:pPr>
              <w:pStyle w:val="38"/>
              <w:ind w:firstLine="0" w:firstLineChars="0"/>
              <w:rPr>
                <w:color w:val="auto"/>
                <w:highlight w:val="none"/>
              </w:rPr>
            </w:pPr>
          </w:p>
        </w:tc>
        <w:tc>
          <w:tcPr>
            <w:tcW w:w="2530" w:type="dxa"/>
          </w:tcPr>
          <w:p w14:paraId="31CC2458">
            <w:pPr>
              <w:pStyle w:val="38"/>
              <w:ind w:firstLine="0" w:firstLineChars="0"/>
              <w:rPr>
                <w:color w:val="auto"/>
                <w:highlight w:val="none"/>
              </w:rPr>
            </w:pPr>
          </w:p>
        </w:tc>
      </w:tr>
      <w:tr w14:paraId="28D9F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817" w:type="dxa"/>
          </w:tcPr>
          <w:p w14:paraId="762775A3">
            <w:pPr>
              <w:pStyle w:val="38"/>
              <w:spacing w:before="80"/>
              <w:ind w:left="264" w:right="256" w:firstLine="0" w:firstLineChars="0"/>
              <w:jc w:val="center"/>
              <w:rPr>
                <w:color w:val="auto"/>
                <w:highlight w:val="none"/>
              </w:rPr>
            </w:pPr>
            <w:r>
              <w:rPr>
                <w:color w:val="auto"/>
                <w:highlight w:val="none"/>
              </w:rPr>
              <w:t>18</w:t>
            </w:r>
          </w:p>
        </w:tc>
        <w:tc>
          <w:tcPr>
            <w:tcW w:w="3852" w:type="dxa"/>
            <w:gridSpan w:val="3"/>
          </w:tcPr>
          <w:p w14:paraId="51EB44F5">
            <w:pPr>
              <w:pStyle w:val="38"/>
              <w:ind w:firstLine="0" w:firstLineChars="0"/>
              <w:rPr>
                <w:color w:val="auto"/>
                <w:highlight w:val="none"/>
              </w:rPr>
            </w:pPr>
          </w:p>
        </w:tc>
        <w:tc>
          <w:tcPr>
            <w:tcW w:w="1926" w:type="dxa"/>
          </w:tcPr>
          <w:p w14:paraId="6D479419">
            <w:pPr>
              <w:pStyle w:val="38"/>
              <w:ind w:firstLine="0" w:firstLineChars="0"/>
              <w:rPr>
                <w:color w:val="auto"/>
                <w:highlight w:val="none"/>
              </w:rPr>
            </w:pPr>
          </w:p>
        </w:tc>
        <w:tc>
          <w:tcPr>
            <w:tcW w:w="2530" w:type="dxa"/>
          </w:tcPr>
          <w:p w14:paraId="610BC5F9">
            <w:pPr>
              <w:pStyle w:val="38"/>
              <w:ind w:firstLine="0" w:firstLineChars="0"/>
              <w:rPr>
                <w:color w:val="auto"/>
                <w:highlight w:val="none"/>
              </w:rPr>
            </w:pPr>
          </w:p>
        </w:tc>
      </w:tr>
    </w:tbl>
    <w:p w14:paraId="6609D869">
      <w:pPr>
        <w:rPr>
          <w:color w:val="auto"/>
          <w:highlight w:val="none"/>
        </w:rPr>
      </w:pPr>
    </w:p>
    <w:p w14:paraId="43D5EACA">
      <w:pPr>
        <w:rPr>
          <w:color w:val="auto"/>
          <w:highlight w:val="none"/>
        </w:rPr>
      </w:pPr>
      <w:r>
        <w:rPr>
          <w:rFonts w:hint="eastAsia"/>
          <w:color w:val="auto"/>
          <w:highlight w:val="none"/>
        </w:rPr>
        <w:t>备注：建设单位须根据具体项目类型对目标取值计算表内确定的海绵城市建设指标和目标值填写至上表，并根据采用海绵城市措施及规模，计算复核填报完成值。</w:t>
      </w:r>
    </w:p>
    <w:p w14:paraId="500CBEA5">
      <w:pPr>
        <w:rPr>
          <w:color w:val="auto"/>
          <w:highlight w:val="none"/>
        </w:rPr>
      </w:pPr>
    </w:p>
    <w:p w14:paraId="4DEF579F">
      <w:pPr>
        <w:rPr>
          <w:color w:val="auto"/>
          <w:highlight w:val="none"/>
        </w:rPr>
      </w:pPr>
    </w:p>
    <w:tbl>
      <w:tblPr>
        <w:tblStyle w:val="17"/>
        <w:tblpPr w:leftFromText="180" w:rightFromText="180" w:vertAnchor="page" w:horzAnchor="page" w:tblpX="2299" w:tblpY="2610"/>
        <w:tblOverlap w:val="never"/>
        <w:tblW w:w="18740" w:type="dxa"/>
        <w:tblInd w:w="0" w:type="dxa"/>
        <w:tblLayout w:type="fixed"/>
        <w:tblCellMar>
          <w:top w:w="0" w:type="dxa"/>
          <w:left w:w="108" w:type="dxa"/>
          <w:bottom w:w="0" w:type="dxa"/>
          <w:right w:w="108" w:type="dxa"/>
        </w:tblCellMar>
      </w:tblPr>
      <w:tblGrid>
        <w:gridCol w:w="883"/>
        <w:gridCol w:w="2204"/>
        <w:gridCol w:w="1767"/>
        <w:gridCol w:w="1085"/>
        <w:gridCol w:w="1792"/>
        <w:gridCol w:w="1491"/>
        <w:gridCol w:w="949"/>
        <w:gridCol w:w="1105"/>
        <w:gridCol w:w="1391"/>
        <w:gridCol w:w="1517"/>
        <w:gridCol w:w="19"/>
        <w:gridCol w:w="1873"/>
        <w:gridCol w:w="1491"/>
        <w:gridCol w:w="1173"/>
      </w:tblGrid>
      <w:tr w14:paraId="156938DE">
        <w:tblPrEx>
          <w:tblCellMar>
            <w:top w:w="0" w:type="dxa"/>
            <w:left w:w="108" w:type="dxa"/>
            <w:bottom w:w="0" w:type="dxa"/>
            <w:right w:w="108" w:type="dxa"/>
          </w:tblCellMar>
        </w:tblPrEx>
        <w:trPr>
          <w:trHeight w:val="542" w:hRule="atLeast"/>
        </w:trPr>
        <w:tc>
          <w:tcPr>
            <w:tcW w:w="18740" w:type="dxa"/>
            <w:gridSpan w:val="14"/>
            <w:tcBorders>
              <w:top w:val="nil"/>
              <w:left w:val="nil"/>
              <w:bottom w:val="nil"/>
              <w:right w:val="nil"/>
            </w:tcBorders>
            <w:shd w:val="clear" w:color="auto" w:fill="auto"/>
            <w:noWrap/>
            <w:vAlign w:val="center"/>
          </w:tcPr>
          <w:p w14:paraId="17A36AF5">
            <w:pPr>
              <w:widowControl/>
              <w:spacing w:line="240" w:lineRule="auto"/>
              <w:ind w:firstLine="0" w:firstLineChars="0"/>
              <w:jc w:val="center"/>
              <w:rPr>
                <w:rFonts w:ascii="宋体" w:hAnsi="宋体" w:cs="宋体"/>
                <w:color w:val="auto"/>
                <w:kern w:val="0"/>
                <w:sz w:val="36"/>
                <w:szCs w:val="36"/>
                <w:highlight w:val="none"/>
              </w:rPr>
            </w:pPr>
            <w:r>
              <w:rPr>
                <w:rFonts w:hint="eastAsia" w:ascii="仿宋_GB2312" w:eastAsia="仿宋_GB2312"/>
                <w:b/>
                <w:color w:val="auto"/>
                <w:sz w:val="28"/>
                <w:highlight w:val="none"/>
                <w:lang w:val="zh-CN"/>
              </w:rPr>
              <w:t>建设项目排水专项设计方案自评表（城镇公共道路配套排水工程）</w:t>
            </w:r>
          </w:p>
        </w:tc>
      </w:tr>
      <w:tr w14:paraId="45B5B438">
        <w:tblPrEx>
          <w:tblCellMar>
            <w:top w:w="0" w:type="dxa"/>
            <w:left w:w="108" w:type="dxa"/>
            <w:bottom w:w="0" w:type="dxa"/>
            <w:right w:w="108" w:type="dxa"/>
          </w:tblCellMar>
        </w:tblPrEx>
        <w:trPr>
          <w:trHeight w:val="565" w:hRule="atLeast"/>
        </w:trPr>
        <w:tc>
          <w:tcPr>
            <w:tcW w:w="30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88F3495">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项目名称：</w:t>
            </w:r>
          </w:p>
        </w:tc>
        <w:tc>
          <w:tcPr>
            <w:tcW w:w="15653" w:type="dxa"/>
            <w:gridSpan w:val="12"/>
            <w:tcBorders>
              <w:top w:val="single" w:color="auto" w:sz="4" w:space="0"/>
              <w:left w:val="nil"/>
              <w:bottom w:val="single" w:color="auto" w:sz="4" w:space="0"/>
              <w:right w:val="single" w:color="auto" w:sz="4" w:space="0"/>
            </w:tcBorders>
            <w:shd w:val="clear" w:color="auto" w:fill="auto"/>
            <w:vAlign w:val="center"/>
          </w:tcPr>
          <w:p w14:paraId="24E5401D">
            <w:pPr>
              <w:widowControl/>
              <w:spacing w:line="240" w:lineRule="auto"/>
              <w:ind w:firstLine="0" w:firstLineChars="0"/>
              <w:jc w:val="left"/>
              <w:rPr>
                <w:rFonts w:cs="宋体" w:asciiTheme="minorEastAsia" w:hAnsiTheme="minorEastAsia"/>
                <w:color w:val="auto"/>
                <w:kern w:val="0"/>
                <w:highlight w:val="none"/>
              </w:rPr>
            </w:pPr>
            <w:r>
              <w:rPr>
                <w:rFonts w:hint="eastAsia"/>
                <w:color w:val="auto"/>
                <w:highlight w:val="none"/>
                <w:lang w:eastAsia="zh-CN"/>
              </w:rPr>
              <w:t>广州空港经济区拆迁安置区（花东安置区）教育配套设施建设项目</w:t>
            </w:r>
          </w:p>
        </w:tc>
      </w:tr>
      <w:tr w14:paraId="1459079A">
        <w:tblPrEx>
          <w:tblCellMar>
            <w:top w:w="0" w:type="dxa"/>
            <w:left w:w="108" w:type="dxa"/>
            <w:bottom w:w="0" w:type="dxa"/>
            <w:right w:w="108" w:type="dxa"/>
          </w:tblCellMar>
        </w:tblPrEx>
        <w:trPr>
          <w:trHeight w:val="565" w:hRule="atLeast"/>
        </w:trPr>
        <w:tc>
          <w:tcPr>
            <w:tcW w:w="30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15320DA">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建设单位（盖章）</w:t>
            </w:r>
          </w:p>
        </w:tc>
        <w:tc>
          <w:tcPr>
            <w:tcW w:w="15653" w:type="dxa"/>
            <w:gridSpan w:val="12"/>
            <w:tcBorders>
              <w:top w:val="single" w:color="auto" w:sz="4" w:space="0"/>
              <w:left w:val="nil"/>
              <w:bottom w:val="single" w:color="auto" w:sz="4" w:space="0"/>
              <w:right w:val="single" w:color="auto" w:sz="4" w:space="0"/>
            </w:tcBorders>
            <w:shd w:val="clear" w:color="auto" w:fill="auto"/>
            <w:vAlign w:val="center"/>
          </w:tcPr>
          <w:p w14:paraId="7FCCBEBD">
            <w:pPr>
              <w:widowControl/>
              <w:spacing w:line="240" w:lineRule="auto"/>
              <w:ind w:firstLine="0" w:firstLineChars="0"/>
              <w:jc w:val="left"/>
              <w:rPr>
                <w:rFonts w:cs="宋体" w:asciiTheme="minorEastAsia" w:hAnsiTheme="minorEastAsia"/>
                <w:color w:val="auto"/>
                <w:kern w:val="0"/>
                <w:highlight w:val="none"/>
              </w:rPr>
            </w:pPr>
            <w:r>
              <w:rPr>
                <w:rFonts w:hint="eastAsia" w:ascii="宋体" w:hAnsi="宋体"/>
                <w:bCs/>
                <w:color w:val="auto"/>
                <w:highlight w:val="none"/>
              </w:rPr>
              <w:t>广州空港经济区管理委员会</w:t>
            </w:r>
          </w:p>
        </w:tc>
      </w:tr>
      <w:tr w14:paraId="4818985F">
        <w:tblPrEx>
          <w:tblCellMar>
            <w:top w:w="0" w:type="dxa"/>
            <w:left w:w="108" w:type="dxa"/>
            <w:bottom w:w="0" w:type="dxa"/>
            <w:right w:w="108" w:type="dxa"/>
          </w:tblCellMar>
        </w:tblPrEx>
        <w:trPr>
          <w:trHeight w:val="818" w:hRule="atLeast"/>
        </w:trPr>
        <w:tc>
          <w:tcPr>
            <w:tcW w:w="30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2241961">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工程概况</w:t>
            </w:r>
          </w:p>
        </w:tc>
        <w:tc>
          <w:tcPr>
            <w:tcW w:w="15653" w:type="dxa"/>
            <w:gridSpan w:val="12"/>
            <w:tcBorders>
              <w:top w:val="single" w:color="auto" w:sz="4" w:space="0"/>
              <w:left w:val="nil"/>
              <w:bottom w:val="single" w:color="auto" w:sz="4" w:space="0"/>
              <w:right w:val="single" w:color="auto" w:sz="4" w:space="0"/>
            </w:tcBorders>
            <w:shd w:val="clear" w:color="auto" w:fill="auto"/>
            <w:vAlign w:val="center"/>
          </w:tcPr>
          <w:p w14:paraId="032A333D">
            <w:pPr>
              <w:widowControl/>
              <w:spacing w:line="240" w:lineRule="auto"/>
              <w:ind w:firstLine="0" w:firstLineChars="0"/>
              <w:jc w:val="left"/>
              <w:rPr>
                <w:rFonts w:cs="宋体" w:asciiTheme="minorEastAsia" w:hAnsiTheme="minorEastAsia" w:eastAsiaTheme="minorEastAsia"/>
                <w:color w:val="auto"/>
                <w:kern w:val="0"/>
                <w:highlight w:val="none"/>
              </w:rPr>
            </w:pPr>
            <w:r>
              <w:rPr>
                <w:rFonts w:hint="eastAsia"/>
                <w:color w:val="auto"/>
                <w:highlight w:val="none"/>
              </w:rPr>
              <w:t>本工程为新建工程，建设范围内无现状雨污系统，</w:t>
            </w:r>
            <w:r>
              <w:rPr>
                <w:rFonts w:hint="eastAsia" w:cstheme="minorBidi"/>
                <w:color w:val="auto"/>
                <w:szCs w:val="22"/>
                <w:highlight w:val="none"/>
              </w:rPr>
              <w:t>拟根据所在片区规划设计条件新建雨污水系统，收集片区雨污水分别接入下游雨污水系统，实现雨污分流排放。</w:t>
            </w:r>
          </w:p>
        </w:tc>
      </w:tr>
      <w:tr w14:paraId="582BF935">
        <w:tblPrEx>
          <w:tblCellMar>
            <w:top w:w="0" w:type="dxa"/>
            <w:left w:w="108" w:type="dxa"/>
            <w:bottom w:w="0" w:type="dxa"/>
            <w:right w:w="108" w:type="dxa"/>
          </w:tblCellMar>
        </w:tblPrEx>
        <w:trPr>
          <w:trHeight w:val="565" w:hRule="atLeast"/>
        </w:trPr>
        <w:tc>
          <w:tcPr>
            <w:tcW w:w="30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D506865">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排水体制</w:t>
            </w:r>
          </w:p>
        </w:tc>
        <w:tc>
          <w:tcPr>
            <w:tcW w:w="15653" w:type="dxa"/>
            <w:gridSpan w:val="12"/>
            <w:tcBorders>
              <w:top w:val="single" w:color="auto" w:sz="4" w:space="0"/>
              <w:left w:val="nil"/>
              <w:bottom w:val="single" w:color="auto" w:sz="4" w:space="0"/>
              <w:right w:val="single" w:color="auto" w:sz="4" w:space="0"/>
            </w:tcBorders>
            <w:shd w:val="clear" w:color="auto" w:fill="auto"/>
            <w:vAlign w:val="center"/>
          </w:tcPr>
          <w:p w14:paraId="6992A793">
            <w:pPr>
              <w:widowControl/>
              <w:spacing w:line="240" w:lineRule="auto"/>
              <w:ind w:firstLine="0" w:firstLineChars="0"/>
              <w:jc w:val="left"/>
              <w:rPr>
                <w:rFonts w:cs="宋体" w:asciiTheme="minorEastAsia" w:hAnsiTheme="minorEastAsia"/>
                <w:color w:val="auto"/>
                <w:kern w:val="0"/>
                <w:highlight w:val="none"/>
              </w:rPr>
            </w:pPr>
            <w:r>
              <w:rPr>
                <w:rFonts w:hint="eastAsia" w:cs="宋体" w:asciiTheme="minorEastAsia" w:hAnsiTheme="minorEastAsia"/>
                <w:color w:val="auto"/>
                <w:kern w:val="0"/>
                <w:highlight w:val="none"/>
              </w:rPr>
              <w:t>雨污分流</w:t>
            </w:r>
          </w:p>
        </w:tc>
      </w:tr>
      <w:tr w14:paraId="2044ED10">
        <w:tblPrEx>
          <w:tblCellMar>
            <w:top w:w="0" w:type="dxa"/>
            <w:left w:w="108" w:type="dxa"/>
            <w:bottom w:w="0" w:type="dxa"/>
            <w:right w:w="108" w:type="dxa"/>
          </w:tblCellMar>
        </w:tblPrEx>
        <w:trPr>
          <w:trHeight w:val="1215" w:hRule="atLeast"/>
        </w:trPr>
        <w:tc>
          <w:tcPr>
            <w:tcW w:w="883" w:type="dxa"/>
            <w:vMerge w:val="restart"/>
            <w:tcBorders>
              <w:top w:val="nil"/>
              <w:left w:val="single" w:color="auto" w:sz="4" w:space="0"/>
              <w:right w:val="single" w:color="auto" w:sz="4" w:space="0"/>
            </w:tcBorders>
            <w:shd w:val="clear" w:color="auto" w:fill="auto"/>
            <w:vAlign w:val="center"/>
          </w:tcPr>
          <w:p w14:paraId="2419D4A2">
            <w:pPr>
              <w:widowControl/>
              <w:spacing w:line="240" w:lineRule="auto"/>
              <w:ind w:firstLine="0" w:firstLineChars="0"/>
              <w:jc w:val="left"/>
              <w:rPr>
                <w:rFonts w:cs="宋体" w:asciiTheme="minorEastAsia" w:hAnsiTheme="minorEastAsia"/>
                <w:color w:val="auto"/>
                <w:kern w:val="0"/>
                <w:highlight w:val="none"/>
              </w:rPr>
            </w:pPr>
            <w:r>
              <w:rPr>
                <w:rFonts w:hint="eastAsia" w:cs="宋体" w:asciiTheme="minorEastAsia" w:hAnsiTheme="minorEastAsia"/>
                <w:color w:val="auto"/>
                <w:kern w:val="0"/>
                <w:highlight w:val="none"/>
              </w:rPr>
              <w:t>污水管道设计</w:t>
            </w:r>
          </w:p>
        </w:tc>
        <w:tc>
          <w:tcPr>
            <w:tcW w:w="2204" w:type="dxa"/>
            <w:tcBorders>
              <w:top w:val="nil"/>
              <w:left w:val="nil"/>
              <w:bottom w:val="single" w:color="auto" w:sz="4" w:space="0"/>
              <w:right w:val="single" w:color="auto" w:sz="4" w:space="0"/>
            </w:tcBorders>
            <w:shd w:val="clear" w:color="auto" w:fill="auto"/>
            <w:vAlign w:val="center"/>
          </w:tcPr>
          <w:p w14:paraId="3333E26E">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拟建管道位置</w:t>
            </w:r>
          </w:p>
        </w:tc>
        <w:tc>
          <w:tcPr>
            <w:tcW w:w="1767" w:type="dxa"/>
            <w:tcBorders>
              <w:top w:val="nil"/>
              <w:left w:val="nil"/>
              <w:bottom w:val="single" w:color="auto" w:sz="4" w:space="0"/>
              <w:right w:val="single" w:color="auto" w:sz="4" w:space="0"/>
            </w:tcBorders>
            <w:shd w:val="clear" w:color="auto" w:fill="auto"/>
            <w:vAlign w:val="center"/>
          </w:tcPr>
          <w:p w14:paraId="6BBD9065">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污水量取值指标（m</w:t>
            </w:r>
            <w:r>
              <w:rPr>
                <w:rFonts w:hint="eastAsia" w:cs="宋体" w:asciiTheme="minorEastAsia" w:hAnsiTheme="minorEastAsia"/>
                <w:color w:val="auto"/>
                <w:kern w:val="0"/>
                <w:highlight w:val="none"/>
                <w:vertAlign w:val="superscript"/>
              </w:rPr>
              <w:t>3</w:t>
            </w:r>
            <w:r>
              <w:rPr>
                <w:rFonts w:hint="eastAsia" w:cs="宋体" w:asciiTheme="minorEastAsia" w:hAnsiTheme="minorEastAsia"/>
                <w:color w:val="auto"/>
                <w:kern w:val="0"/>
                <w:highlight w:val="none"/>
              </w:rPr>
              <w:t>/s·ha)</w:t>
            </w:r>
          </w:p>
        </w:tc>
        <w:tc>
          <w:tcPr>
            <w:tcW w:w="1085" w:type="dxa"/>
            <w:tcBorders>
              <w:top w:val="nil"/>
              <w:left w:val="nil"/>
              <w:bottom w:val="single" w:color="auto" w:sz="4" w:space="0"/>
              <w:right w:val="single" w:color="auto" w:sz="4" w:space="0"/>
            </w:tcBorders>
            <w:shd w:val="clear" w:color="auto" w:fill="auto"/>
            <w:vAlign w:val="center"/>
          </w:tcPr>
          <w:p w14:paraId="66C39C91">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纳污范围(ha)</w:t>
            </w:r>
          </w:p>
        </w:tc>
        <w:tc>
          <w:tcPr>
            <w:tcW w:w="1792" w:type="dxa"/>
            <w:tcBorders>
              <w:top w:val="nil"/>
              <w:left w:val="nil"/>
              <w:bottom w:val="single" w:color="auto" w:sz="4" w:space="0"/>
              <w:right w:val="single" w:color="auto" w:sz="4" w:space="0"/>
            </w:tcBorders>
            <w:shd w:val="clear" w:color="auto" w:fill="auto"/>
            <w:vAlign w:val="center"/>
          </w:tcPr>
          <w:p w14:paraId="233B9518">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预测污水量(m3/s)</w:t>
            </w:r>
          </w:p>
        </w:tc>
        <w:tc>
          <w:tcPr>
            <w:tcW w:w="1491" w:type="dxa"/>
            <w:tcBorders>
              <w:top w:val="nil"/>
              <w:left w:val="nil"/>
              <w:bottom w:val="single" w:color="auto" w:sz="4" w:space="0"/>
              <w:right w:val="single" w:color="auto" w:sz="4" w:space="0"/>
            </w:tcBorders>
            <w:shd w:val="clear" w:color="auto" w:fill="auto"/>
            <w:vAlign w:val="center"/>
          </w:tcPr>
          <w:p w14:paraId="64539F10">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管径</w:t>
            </w:r>
          </w:p>
          <w:p w14:paraId="45714E44">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（mm）</w:t>
            </w:r>
          </w:p>
        </w:tc>
        <w:tc>
          <w:tcPr>
            <w:tcW w:w="2054" w:type="dxa"/>
            <w:gridSpan w:val="2"/>
            <w:tcBorders>
              <w:top w:val="nil"/>
              <w:left w:val="nil"/>
              <w:bottom w:val="single" w:color="auto" w:sz="4" w:space="0"/>
              <w:right w:val="single" w:color="auto" w:sz="4" w:space="0"/>
            </w:tcBorders>
            <w:shd w:val="clear" w:color="auto" w:fill="auto"/>
            <w:vAlign w:val="center"/>
          </w:tcPr>
          <w:p w14:paraId="177104B4">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管道设计坡度</w:t>
            </w:r>
          </w:p>
        </w:tc>
        <w:tc>
          <w:tcPr>
            <w:tcW w:w="1391" w:type="dxa"/>
            <w:tcBorders>
              <w:top w:val="nil"/>
              <w:left w:val="nil"/>
              <w:bottom w:val="single" w:color="auto" w:sz="4" w:space="0"/>
              <w:right w:val="single" w:color="auto" w:sz="4" w:space="0"/>
            </w:tcBorders>
            <w:shd w:val="clear" w:color="auto" w:fill="auto"/>
            <w:vAlign w:val="center"/>
          </w:tcPr>
          <w:p w14:paraId="4689E6E0">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设计流速(m/s)</w:t>
            </w:r>
          </w:p>
        </w:tc>
        <w:tc>
          <w:tcPr>
            <w:tcW w:w="1517" w:type="dxa"/>
            <w:tcBorders>
              <w:top w:val="nil"/>
              <w:left w:val="nil"/>
              <w:bottom w:val="single" w:color="auto" w:sz="4" w:space="0"/>
              <w:right w:val="single" w:color="auto" w:sz="4" w:space="0"/>
            </w:tcBorders>
            <w:shd w:val="clear" w:color="auto" w:fill="auto"/>
            <w:vAlign w:val="center"/>
          </w:tcPr>
          <w:p w14:paraId="69DD7DFC">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管道长度</w:t>
            </w:r>
          </w:p>
          <w:p w14:paraId="249A7A40">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（m）</w:t>
            </w:r>
          </w:p>
        </w:tc>
        <w:tc>
          <w:tcPr>
            <w:tcW w:w="1892" w:type="dxa"/>
            <w:gridSpan w:val="2"/>
            <w:tcBorders>
              <w:top w:val="nil"/>
              <w:left w:val="nil"/>
              <w:bottom w:val="single" w:color="auto" w:sz="4" w:space="0"/>
              <w:right w:val="single" w:color="auto" w:sz="4" w:space="0"/>
            </w:tcBorders>
            <w:shd w:val="clear" w:color="auto" w:fill="auto"/>
            <w:vAlign w:val="center"/>
          </w:tcPr>
          <w:p w14:paraId="640CCC55">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管材</w:t>
            </w:r>
          </w:p>
        </w:tc>
        <w:tc>
          <w:tcPr>
            <w:tcW w:w="1491" w:type="dxa"/>
            <w:tcBorders>
              <w:top w:val="nil"/>
              <w:left w:val="nil"/>
              <w:bottom w:val="single" w:color="auto" w:sz="4" w:space="0"/>
              <w:right w:val="single" w:color="auto" w:sz="4" w:space="0"/>
            </w:tcBorders>
            <w:shd w:val="clear" w:color="auto" w:fill="auto"/>
            <w:vAlign w:val="center"/>
          </w:tcPr>
          <w:p w14:paraId="3E35A06D">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拟接驳下游管道管径</w:t>
            </w:r>
          </w:p>
        </w:tc>
        <w:tc>
          <w:tcPr>
            <w:tcW w:w="1173" w:type="dxa"/>
            <w:tcBorders>
              <w:top w:val="nil"/>
              <w:left w:val="nil"/>
              <w:bottom w:val="single" w:color="auto" w:sz="4" w:space="0"/>
              <w:right w:val="single" w:color="auto" w:sz="4" w:space="0"/>
            </w:tcBorders>
            <w:shd w:val="clear" w:color="auto" w:fill="auto"/>
            <w:vAlign w:val="center"/>
          </w:tcPr>
          <w:p w14:paraId="67094A1E">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备注</w:t>
            </w:r>
          </w:p>
        </w:tc>
      </w:tr>
      <w:tr w14:paraId="7387A84E">
        <w:tblPrEx>
          <w:tblCellMar>
            <w:top w:w="0" w:type="dxa"/>
            <w:left w:w="108" w:type="dxa"/>
            <w:bottom w:w="0" w:type="dxa"/>
            <w:right w:w="108" w:type="dxa"/>
          </w:tblCellMar>
        </w:tblPrEx>
        <w:trPr>
          <w:trHeight w:val="565" w:hRule="atLeast"/>
        </w:trPr>
        <w:tc>
          <w:tcPr>
            <w:tcW w:w="883" w:type="dxa"/>
            <w:vMerge w:val="continue"/>
            <w:tcBorders>
              <w:left w:val="single" w:color="auto" w:sz="4" w:space="0"/>
              <w:right w:val="single" w:color="auto" w:sz="4" w:space="0"/>
            </w:tcBorders>
            <w:vAlign w:val="center"/>
          </w:tcPr>
          <w:p w14:paraId="7A8C039D">
            <w:pPr>
              <w:widowControl/>
              <w:spacing w:line="240" w:lineRule="auto"/>
              <w:ind w:firstLine="0" w:firstLineChars="0"/>
              <w:jc w:val="left"/>
              <w:rPr>
                <w:rFonts w:cs="宋体" w:asciiTheme="minorEastAsia" w:hAnsiTheme="minorEastAsia"/>
                <w:color w:val="auto"/>
                <w:kern w:val="0"/>
                <w:highlight w:val="none"/>
              </w:rPr>
            </w:pPr>
          </w:p>
        </w:tc>
        <w:tc>
          <w:tcPr>
            <w:tcW w:w="2204" w:type="dxa"/>
            <w:tcBorders>
              <w:top w:val="nil"/>
              <w:left w:val="nil"/>
              <w:bottom w:val="single" w:color="auto" w:sz="4" w:space="0"/>
              <w:right w:val="single" w:color="auto" w:sz="4" w:space="0"/>
            </w:tcBorders>
            <w:shd w:val="clear" w:color="auto" w:fill="auto"/>
            <w:vAlign w:val="center"/>
          </w:tcPr>
          <w:p w14:paraId="688641B0">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永安东路北侧</w:t>
            </w:r>
          </w:p>
        </w:tc>
        <w:tc>
          <w:tcPr>
            <w:tcW w:w="1767" w:type="dxa"/>
            <w:tcBorders>
              <w:top w:val="nil"/>
              <w:left w:val="nil"/>
              <w:bottom w:val="single" w:color="auto" w:sz="4" w:space="0"/>
              <w:right w:val="single" w:color="auto" w:sz="4" w:space="0"/>
            </w:tcBorders>
            <w:shd w:val="clear" w:color="auto" w:fill="auto"/>
            <w:vAlign w:val="center"/>
          </w:tcPr>
          <w:p w14:paraId="01608EFF">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0.00122</w:t>
            </w:r>
          </w:p>
        </w:tc>
        <w:tc>
          <w:tcPr>
            <w:tcW w:w="1085" w:type="dxa"/>
            <w:tcBorders>
              <w:top w:val="nil"/>
              <w:left w:val="nil"/>
              <w:bottom w:val="single" w:color="auto" w:sz="4" w:space="0"/>
              <w:right w:val="single" w:color="auto" w:sz="4" w:space="0"/>
            </w:tcBorders>
            <w:shd w:val="clear" w:color="auto" w:fill="auto"/>
            <w:vAlign w:val="center"/>
          </w:tcPr>
          <w:p w14:paraId="4CFDAC50">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3.97</w:t>
            </w:r>
          </w:p>
        </w:tc>
        <w:tc>
          <w:tcPr>
            <w:tcW w:w="1792" w:type="dxa"/>
            <w:tcBorders>
              <w:top w:val="nil"/>
              <w:left w:val="nil"/>
              <w:bottom w:val="single" w:color="auto" w:sz="4" w:space="0"/>
              <w:right w:val="single" w:color="auto" w:sz="4" w:space="0"/>
            </w:tcBorders>
            <w:shd w:val="clear" w:color="auto" w:fill="auto"/>
            <w:vAlign w:val="center"/>
          </w:tcPr>
          <w:p w14:paraId="32378D23">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0.00482</w:t>
            </w:r>
          </w:p>
        </w:tc>
        <w:tc>
          <w:tcPr>
            <w:tcW w:w="1491" w:type="dxa"/>
            <w:tcBorders>
              <w:top w:val="nil"/>
              <w:left w:val="nil"/>
              <w:bottom w:val="single" w:color="auto" w:sz="4" w:space="0"/>
              <w:right w:val="single" w:color="auto" w:sz="4" w:space="0"/>
            </w:tcBorders>
            <w:shd w:val="clear" w:color="auto" w:fill="auto"/>
            <w:vAlign w:val="center"/>
          </w:tcPr>
          <w:p w14:paraId="5E9E8ED6">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500</w:t>
            </w:r>
          </w:p>
        </w:tc>
        <w:tc>
          <w:tcPr>
            <w:tcW w:w="2054" w:type="dxa"/>
            <w:gridSpan w:val="2"/>
            <w:tcBorders>
              <w:top w:val="nil"/>
              <w:left w:val="nil"/>
              <w:bottom w:val="single" w:color="auto" w:sz="4" w:space="0"/>
              <w:right w:val="single" w:color="auto" w:sz="4" w:space="0"/>
            </w:tcBorders>
            <w:shd w:val="clear" w:color="auto" w:fill="auto"/>
            <w:vAlign w:val="center"/>
          </w:tcPr>
          <w:p w14:paraId="5AAE183A">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3‰</w:t>
            </w:r>
          </w:p>
        </w:tc>
        <w:tc>
          <w:tcPr>
            <w:tcW w:w="1391" w:type="dxa"/>
            <w:tcBorders>
              <w:top w:val="nil"/>
              <w:left w:val="nil"/>
              <w:bottom w:val="single" w:color="auto" w:sz="4" w:space="0"/>
              <w:right w:val="single" w:color="auto" w:sz="4" w:space="0"/>
            </w:tcBorders>
            <w:shd w:val="clear" w:color="auto" w:fill="auto"/>
            <w:vAlign w:val="center"/>
          </w:tcPr>
          <w:p w14:paraId="1ECEE0F0">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0.68</w:t>
            </w:r>
          </w:p>
        </w:tc>
        <w:tc>
          <w:tcPr>
            <w:tcW w:w="1517" w:type="dxa"/>
            <w:tcBorders>
              <w:top w:val="nil"/>
              <w:left w:val="nil"/>
              <w:bottom w:val="single" w:color="auto" w:sz="4" w:space="0"/>
              <w:right w:val="single" w:color="auto" w:sz="4" w:space="0"/>
            </w:tcBorders>
            <w:shd w:val="clear" w:color="auto" w:fill="auto"/>
            <w:vAlign w:val="center"/>
          </w:tcPr>
          <w:p w14:paraId="0F2C6821">
            <w:pPr>
              <w:widowControl/>
              <w:spacing w:line="240" w:lineRule="auto"/>
              <w:ind w:firstLine="0" w:firstLineChars="0"/>
              <w:jc w:val="center"/>
              <w:rPr>
                <w:rFonts w:cs="宋体" w:asciiTheme="minorEastAsia" w:hAnsiTheme="minorEastAsia"/>
                <w:color w:val="auto"/>
                <w:kern w:val="0"/>
                <w:highlight w:val="none"/>
              </w:rPr>
            </w:pPr>
            <w:r>
              <w:rPr>
                <w:rFonts w:cs="宋体" w:asciiTheme="minorEastAsia" w:hAnsiTheme="minorEastAsia"/>
                <w:color w:val="auto"/>
                <w:kern w:val="0"/>
                <w:highlight w:val="none"/>
              </w:rPr>
              <w:t>138</w:t>
            </w:r>
          </w:p>
        </w:tc>
        <w:tc>
          <w:tcPr>
            <w:tcW w:w="1892" w:type="dxa"/>
            <w:gridSpan w:val="2"/>
            <w:tcBorders>
              <w:top w:val="nil"/>
              <w:left w:val="nil"/>
              <w:bottom w:val="single" w:color="auto" w:sz="4" w:space="0"/>
              <w:right w:val="single" w:color="auto" w:sz="4" w:space="0"/>
            </w:tcBorders>
            <w:shd w:val="clear" w:color="auto" w:fill="auto"/>
            <w:vAlign w:val="center"/>
          </w:tcPr>
          <w:p w14:paraId="61154E2C">
            <w:pPr>
              <w:widowControl/>
              <w:spacing w:line="240" w:lineRule="auto"/>
              <w:ind w:firstLine="0" w:firstLineChars="0"/>
              <w:jc w:val="center"/>
              <w:rPr>
                <w:rFonts w:cs="宋体" w:asciiTheme="minorEastAsia" w:hAnsiTheme="minorEastAsia"/>
                <w:color w:val="auto"/>
                <w:kern w:val="0"/>
                <w:highlight w:val="none"/>
              </w:rPr>
            </w:pPr>
            <w:r>
              <w:rPr>
                <w:rFonts w:hint="eastAsia"/>
                <w:color w:val="auto"/>
                <w:sz w:val="21"/>
                <w:szCs w:val="21"/>
                <w:highlight w:val="none"/>
              </w:rPr>
              <w:t>Ⅱ级钢筋砼管</w:t>
            </w:r>
          </w:p>
        </w:tc>
        <w:tc>
          <w:tcPr>
            <w:tcW w:w="1491" w:type="dxa"/>
            <w:tcBorders>
              <w:top w:val="nil"/>
              <w:left w:val="nil"/>
              <w:bottom w:val="single" w:color="auto" w:sz="4" w:space="0"/>
              <w:right w:val="single" w:color="auto" w:sz="4" w:space="0"/>
            </w:tcBorders>
            <w:shd w:val="clear" w:color="auto" w:fill="auto"/>
            <w:vAlign w:val="center"/>
          </w:tcPr>
          <w:p w14:paraId="36484811">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600</w:t>
            </w:r>
          </w:p>
        </w:tc>
        <w:tc>
          <w:tcPr>
            <w:tcW w:w="1173" w:type="dxa"/>
            <w:tcBorders>
              <w:top w:val="nil"/>
              <w:left w:val="nil"/>
              <w:bottom w:val="single" w:color="auto" w:sz="4" w:space="0"/>
              <w:right w:val="single" w:color="auto" w:sz="4" w:space="0"/>
            </w:tcBorders>
            <w:shd w:val="clear" w:color="auto" w:fill="auto"/>
            <w:noWrap/>
            <w:vAlign w:val="center"/>
          </w:tcPr>
          <w:p w14:paraId="10C32070">
            <w:pPr>
              <w:widowControl/>
              <w:spacing w:line="240" w:lineRule="auto"/>
              <w:ind w:firstLine="0" w:firstLineChars="0"/>
              <w:jc w:val="center"/>
              <w:rPr>
                <w:rFonts w:cs="宋体" w:asciiTheme="minorEastAsia" w:hAnsiTheme="minorEastAsia"/>
                <w:color w:val="auto"/>
                <w:kern w:val="0"/>
                <w:highlight w:val="none"/>
              </w:rPr>
            </w:pPr>
          </w:p>
        </w:tc>
      </w:tr>
      <w:tr w14:paraId="1FEB44AF">
        <w:tblPrEx>
          <w:tblCellMar>
            <w:top w:w="0" w:type="dxa"/>
            <w:left w:w="108" w:type="dxa"/>
            <w:bottom w:w="0" w:type="dxa"/>
            <w:right w:w="108" w:type="dxa"/>
          </w:tblCellMar>
        </w:tblPrEx>
        <w:trPr>
          <w:trHeight w:val="565" w:hRule="atLeast"/>
        </w:trPr>
        <w:tc>
          <w:tcPr>
            <w:tcW w:w="883" w:type="dxa"/>
            <w:vMerge w:val="continue"/>
            <w:tcBorders>
              <w:left w:val="single" w:color="auto" w:sz="4" w:space="0"/>
              <w:right w:val="single" w:color="auto" w:sz="4" w:space="0"/>
            </w:tcBorders>
            <w:vAlign w:val="center"/>
          </w:tcPr>
          <w:p w14:paraId="6B81F922">
            <w:pPr>
              <w:widowControl/>
              <w:spacing w:line="240" w:lineRule="auto"/>
              <w:ind w:firstLine="0" w:firstLineChars="0"/>
              <w:jc w:val="left"/>
              <w:rPr>
                <w:rFonts w:cs="宋体" w:asciiTheme="minorEastAsia" w:hAnsiTheme="minorEastAsia"/>
                <w:color w:val="auto"/>
                <w:kern w:val="0"/>
                <w:highlight w:val="none"/>
              </w:rPr>
            </w:pPr>
          </w:p>
        </w:tc>
        <w:tc>
          <w:tcPr>
            <w:tcW w:w="2204" w:type="dxa"/>
            <w:tcBorders>
              <w:top w:val="nil"/>
              <w:left w:val="nil"/>
              <w:bottom w:val="single" w:color="auto" w:sz="4" w:space="0"/>
              <w:right w:val="single" w:color="auto" w:sz="4" w:space="0"/>
            </w:tcBorders>
            <w:shd w:val="clear" w:color="auto" w:fill="auto"/>
            <w:vAlign w:val="center"/>
          </w:tcPr>
          <w:p w14:paraId="38127E8C">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永安东路南侧</w:t>
            </w:r>
          </w:p>
        </w:tc>
        <w:tc>
          <w:tcPr>
            <w:tcW w:w="1767" w:type="dxa"/>
            <w:tcBorders>
              <w:top w:val="nil"/>
              <w:left w:val="nil"/>
              <w:bottom w:val="single" w:color="auto" w:sz="4" w:space="0"/>
              <w:right w:val="single" w:color="auto" w:sz="4" w:space="0"/>
            </w:tcBorders>
            <w:shd w:val="clear" w:color="auto" w:fill="auto"/>
            <w:vAlign w:val="center"/>
          </w:tcPr>
          <w:p w14:paraId="1824D2DC">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0.00122</w:t>
            </w:r>
          </w:p>
        </w:tc>
        <w:tc>
          <w:tcPr>
            <w:tcW w:w="1085" w:type="dxa"/>
            <w:tcBorders>
              <w:top w:val="nil"/>
              <w:left w:val="nil"/>
              <w:bottom w:val="single" w:color="auto" w:sz="4" w:space="0"/>
              <w:right w:val="single" w:color="auto" w:sz="4" w:space="0"/>
            </w:tcBorders>
            <w:shd w:val="clear" w:color="auto" w:fill="auto"/>
            <w:vAlign w:val="center"/>
          </w:tcPr>
          <w:p w14:paraId="57515F56">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2.94</w:t>
            </w:r>
          </w:p>
        </w:tc>
        <w:tc>
          <w:tcPr>
            <w:tcW w:w="1792" w:type="dxa"/>
            <w:tcBorders>
              <w:top w:val="nil"/>
              <w:left w:val="nil"/>
              <w:bottom w:val="single" w:color="auto" w:sz="4" w:space="0"/>
              <w:right w:val="single" w:color="auto" w:sz="4" w:space="0"/>
            </w:tcBorders>
            <w:shd w:val="clear" w:color="auto" w:fill="auto"/>
            <w:vAlign w:val="center"/>
          </w:tcPr>
          <w:p w14:paraId="43EEFC68">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0.00357</w:t>
            </w:r>
          </w:p>
        </w:tc>
        <w:tc>
          <w:tcPr>
            <w:tcW w:w="1491" w:type="dxa"/>
            <w:tcBorders>
              <w:top w:val="nil"/>
              <w:left w:val="nil"/>
              <w:bottom w:val="single" w:color="auto" w:sz="4" w:space="0"/>
              <w:right w:val="single" w:color="auto" w:sz="4" w:space="0"/>
            </w:tcBorders>
            <w:shd w:val="clear" w:color="auto" w:fill="auto"/>
            <w:vAlign w:val="center"/>
          </w:tcPr>
          <w:p w14:paraId="41711CB9">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500</w:t>
            </w:r>
          </w:p>
        </w:tc>
        <w:tc>
          <w:tcPr>
            <w:tcW w:w="2054" w:type="dxa"/>
            <w:gridSpan w:val="2"/>
            <w:tcBorders>
              <w:top w:val="nil"/>
              <w:left w:val="nil"/>
              <w:bottom w:val="single" w:color="auto" w:sz="4" w:space="0"/>
              <w:right w:val="single" w:color="auto" w:sz="4" w:space="0"/>
            </w:tcBorders>
            <w:shd w:val="clear" w:color="auto" w:fill="auto"/>
            <w:vAlign w:val="center"/>
          </w:tcPr>
          <w:p w14:paraId="706BA976">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20‰</w:t>
            </w:r>
          </w:p>
        </w:tc>
        <w:tc>
          <w:tcPr>
            <w:tcW w:w="1391" w:type="dxa"/>
            <w:tcBorders>
              <w:top w:val="nil"/>
              <w:left w:val="nil"/>
              <w:bottom w:val="single" w:color="auto" w:sz="4" w:space="0"/>
              <w:right w:val="single" w:color="auto" w:sz="4" w:space="0"/>
            </w:tcBorders>
            <w:shd w:val="clear" w:color="auto" w:fill="auto"/>
            <w:vAlign w:val="center"/>
          </w:tcPr>
          <w:p w14:paraId="3E111760">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0.84</w:t>
            </w:r>
          </w:p>
        </w:tc>
        <w:tc>
          <w:tcPr>
            <w:tcW w:w="1517" w:type="dxa"/>
            <w:tcBorders>
              <w:top w:val="nil"/>
              <w:left w:val="nil"/>
              <w:bottom w:val="single" w:color="auto" w:sz="4" w:space="0"/>
              <w:right w:val="single" w:color="auto" w:sz="4" w:space="0"/>
            </w:tcBorders>
            <w:shd w:val="clear" w:color="auto" w:fill="auto"/>
            <w:vAlign w:val="center"/>
          </w:tcPr>
          <w:p w14:paraId="2A2FEA84">
            <w:pPr>
              <w:widowControl/>
              <w:spacing w:line="240" w:lineRule="auto"/>
              <w:ind w:firstLine="0" w:firstLineChars="0"/>
              <w:jc w:val="center"/>
              <w:rPr>
                <w:rFonts w:cs="宋体" w:asciiTheme="minorEastAsia" w:hAnsiTheme="minorEastAsia"/>
                <w:color w:val="auto"/>
                <w:kern w:val="0"/>
                <w:highlight w:val="none"/>
              </w:rPr>
            </w:pPr>
            <w:r>
              <w:rPr>
                <w:rFonts w:cs="宋体" w:asciiTheme="minorEastAsia" w:hAnsiTheme="minorEastAsia"/>
                <w:color w:val="auto"/>
                <w:kern w:val="0"/>
                <w:highlight w:val="none"/>
              </w:rPr>
              <w:t>135</w:t>
            </w:r>
          </w:p>
        </w:tc>
        <w:tc>
          <w:tcPr>
            <w:tcW w:w="1892" w:type="dxa"/>
            <w:gridSpan w:val="2"/>
            <w:tcBorders>
              <w:top w:val="nil"/>
              <w:left w:val="nil"/>
              <w:bottom w:val="single" w:color="auto" w:sz="4" w:space="0"/>
              <w:right w:val="single" w:color="auto" w:sz="4" w:space="0"/>
            </w:tcBorders>
            <w:shd w:val="clear" w:color="auto" w:fill="auto"/>
            <w:vAlign w:val="center"/>
          </w:tcPr>
          <w:p w14:paraId="5FEECDDD">
            <w:pPr>
              <w:widowControl/>
              <w:spacing w:line="240" w:lineRule="auto"/>
              <w:ind w:firstLine="0" w:firstLineChars="0"/>
              <w:jc w:val="center"/>
              <w:rPr>
                <w:rFonts w:cs="宋体" w:asciiTheme="minorEastAsia" w:hAnsiTheme="minorEastAsia"/>
                <w:color w:val="auto"/>
                <w:kern w:val="0"/>
                <w:highlight w:val="none"/>
              </w:rPr>
            </w:pPr>
            <w:r>
              <w:rPr>
                <w:rFonts w:hint="eastAsia"/>
                <w:color w:val="auto"/>
                <w:sz w:val="21"/>
                <w:szCs w:val="21"/>
                <w:highlight w:val="none"/>
              </w:rPr>
              <w:t>Ⅱ级钢筋砼管</w:t>
            </w:r>
          </w:p>
        </w:tc>
        <w:tc>
          <w:tcPr>
            <w:tcW w:w="1491" w:type="dxa"/>
            <w:tcBorders>
              <w:top w:val="nil"/>
              <w:left w:val="nil"/>
              <w:bottom w:val="single" w:color="auto" w:sz="4" w:space="0"/>
              <w:right w:val="single" w:color="auto" w:sz="4" w:space="0"/>
            </w:tcBorders>
            <w:shd w:val="clear" w:color="auto" w:fill="auto"/>
            <w:vAlign w:val="center"/>
          </w:tcPr>
          <w:p w14:paraId="73AACE31">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600</w:t>
            </w:r>
          </w:p>
        </w:tc>
        <w:tc>
          <w:tcPr>
            <w:tcW w:w="1173" w:type="dxa"/>
            <w:tcBorders>
              <w:top w:val="nil"/>
              <w:left w:val="nil"/>
              <w:bottom w:val="single" w:color="auto" w:sz="4" w:space="0"/>
              <w:right w:val="single" w:color="auto" w:sz="4" w:space="0"/>
            </w:tcBorders>
            <w:shd w:val="clear" w:color="auto" w:fill="auto"/>
            <w:noWrap/>
            <w:vAlign w:val="center"/>
          </w:tcPr>
          <w:p w14:paraId="27311F10">
            <w:pPr>
              <w:widowControl/>
              <w:spacing w:line="240" w:lineRule="auto"/>
              <w:ind w:firstLine="0" w:firstLineChars="0"/>
              <w:jc w:val="center"/>
              <w:rPr>
                <w:rFonts w:cs="宋体" w:asciiTheme="minorEastAsia" w:hAnsiTheme="minorEastAsia"/>
                <w:color w:val="auto"/>
                <w:kern w:val="0"/>
                <w:highlight w:val="none"/>
              </w:rPr>
            </w:pPr>
          </w:p>
        </w:tc>
      </w:tr>
      <w:tr w14:paraId="65806ED3">
        <w:tblPrEx>
          <w:tblCellMar>
            <w:top w:w="0" w:type="dxa"/>
            <w:left w:w="108" w:type="dxa"/>
            <w:bottom w:w="0" w:type="dxa"/>
            <w:right w:w="108" w:type="dxa"/>
          </w:tblCellMar>
        </w:tblPrEx>
        <w:trPr>
          <w:trHeight w:val="565" w:hRule="atLeast"/>
        </w:trPr>
        <w:tc>
          <w:tcPr>
            <w:tcW w:w="883" w:type="dxa"/>
            <w:vMerge w:val="continue"/>
            <w:tcBorders>
              <w:left w:val="single" w:color="auto" w:sz="4" w:space="0"/>
              <w:bottom w:val="single" w:color="auto" w:sz="4" w:space="0"/>
              <w:right w:val="single" w:color="auto" w:sz="4" w:space="0"/>
            </w:tcBorders>
            <w:vAlign w:val="center"/>
          </w:tcPr>
          <w:p w14:paraId="66F180C2">
            <w:pPr>
              <w:widowControl/>
              <w:spacing w:line="240" w:lineRule="auto"/>
              <w:ind w:firstLine="0" w:firstLineChars="0"/>
              <w:jc w:val="left"/>
              <w:rPr>
                <w:rFonts w:cs="宋体" w:asciiTheme="minorEastAsia" w:hAnsiTheme="minorEastAsia"/>
                <w:color w:val="auto"/>
                <w:kern w:val="0"/>
                <w:highlight w:val="none"/>
              </w:rPr>
            </w:pPr>
          </w:p>
        </w:tc>
        <w:tc>
          <w:tcPr>
            <w:tcW w:w="2204" w:type="dxa"/>
            <w:tcBorders>
              <w:top w:val="nil"/>
              <w:left w:val="nil"/>
              <w:bottom w:val="single" w:color="auto" w:sz="4" w:space="0"/>
              <w:right w:val="single" w:color="auto" w:sz="4" w:space="0"/>
            </w:tcBorders>
            <w:shd w:val="clear" w:color="auto" w:fill="auto"/>
            <w:vAlign w:val="center"/>
          </w:tcPr>
          <w:p w14:paraId="6752302A">
            <w:pPr>
              <w:widowControl/>
              <w:spacing w:line="240" w:lineRule="auto"/>
              <w:ind w:firstLine="0" w:firstLineChars="0"/>
              <w:jc w:val="center"/>
              <w:rPr>
                <w:rFonts w:cs="宋体" w:asciiTheme="minorEastAsia" w:hAnsiTheme="minorEastAsia"/>
                <w:color w:val="auto"/>
                <w:kern w:val="0"/>
                <w:highlight w:val="none"/>
              </w:rPr>
            </w:pPr>
          </w:p>
        </w:tc>
        <w:tc>
          <w:tcPr>
            <w:tcW w:w="1767" w:type="dxa"/>
            <w:tcBorders>
              <w:top w:val="nil"/>
              <w:left w:val="nil"/>
              <w:bottom w:val="single" w:color="auto" w:sz="4" w:space="0"/>
              <w:right w:val="single" w:color="auto" w:sz="4" w:space="0"/>
            </w:tcBorders>
            <w:shd w:val="clear" w:color="auto" w:fill="auto"/>
            <w:vAlign w:val="center"/>
          </w:tcPr>
          <w:p w14:paraId="69A7B3B1">
            <w:pPr>
              <w:widowControl/>
              <w:spacing w:line="240" w:lineRule="auto"/>
              <w:ind w:firstLine="0" w:firstLineChars="0"/>
              <w:jc w:val="center"/>
              <w:rPr>
                <w:rFonts w:cs="宋体" w:asciiTheme="minorEastAsia" w:hAnsiTheme="minorEastAsia"/>
                <w:color w:val="auto"/>
                <w:kern w:val="0"/>
                <w:highlight w:val="none"/>
              </w:rPr>
            </w:pPr>
          </w:p>
        </w:tc>
        <w:tc>
          <w:tcPr>
            <w:tcW w:w="1085" w:type="dxa"/>
            <w:tcBorders>
              <w:top w:val="nil"/>
              <w:left w:val="nil"/>
              <w:bottom w:val="single" w:color="auto" w:sz="4" w:space="0"/>
              <w:right w:val="single" w:color="auto" w:sz="4" w:space="0"/>
            </w:tcBorders>
            <w:shd w:val="clear" w:color="auto" w:fill="auto"/>
            <w:vAlign w:val="center"/>
          </w:tcPr>
          <w:p w14:paraId="564FD564">
            <w:pPr>
              <w:widowControl/>
              <w:spacing w:line="240" w:lineRule="auto"/>
              <w:ind w:firstLine="0" w:firstLineChars="0"/>
              <w:jc w:val="center"/>
              <w:rPr>
                <w:rFonts w:cs="宋体" w:asciiTheme="minorEastAsia" w:hAnsiTheme="minorEastAsia"/>
                <w:color w:val="auto"/>
                <w:kern w:val="0"/>
                <w:highlight w:val="none"/>
              </w:rPr>
            </w:pPr>
          </w:p>
        </w:tc>
        <w:tc>
          <w:tcPr>
            <w:tcW w:w="1792" w:type="dxa"/>
            <w:tcBorders>
              <w:top w:val="nil"/>
              <w:left w:val="nil"/>
              <w:bottom w:val="single" w:color="auto" w:sz="4" w:space="0"/>
              <w:right w:val="single" w:color="auto" w:sz="4" w:space="0"/>
            </w:tcBorders>
            <w:shd w:val="clear" w:color="auto" w:fill="auto"/>
            <w:vAlign w:val="center"/>
          </w:tcPr>
          <w:p w14:paraId="6EBA6EEA">
            <w:pPr>
              <w:widowControl/>
              <w:spacing w:line="240" w:lineRule="auto"/>
              <w:ind w:firstLine="0" w:firstLineChars="0"/>
              <w:jc w:val="center"/>
              <w:rPr>
                <w:rFonts w:cs="宋体" w:asciiTheme="minorEastAsia" w:hAnsiTheme="minorEastAsia"/>
                <w:color w:val="auto"/>
                <w:kern w:val="0"/>
                <w:highlight w:val="none"/>
              </w:rPr>
            </w:pPr>
          </w:p>
        </w:tc>
        <w:tc>
          <w:tcPr>
            <w:tcW w:w="1491" w:type="dxa"/>
            <w:tcBorders>
              <w:top w:val="nil"/>
              <w:left w:val="nil"/>
              <w:bottom w:val="single" w:color="auto" w:sz="4" w:space="0"/>
              <w:right w:val="single" w:color="auto" w:sz="4" w:space="0"/>
            </w:tcBorders>
            <w:shd w:val="clear" w:color="auto" w:fill="auto"/>
            <w:vAlign w:val="center"/>
          </w:tcPr>
          <w:p w14:paraId="6CDEBAB5">
            <w:pPr>
              <w:widowControl/>
              <w:spacing w:line="240" w:lineRule="auto"/>
              <w:ind w:firstLine="0" w:firstLineChars="0"/>
              <w:jc w:val="center"/>
              <w:rPr>
                <w:rFonts w:cs="宋体" w:asciiTheme="minorEastAsia" w:hAnsiTheme="minorEastAsia"/>
                <w:color w:val="auto"/>
                <w:kern w:val="0"/>
                <w:highlight w:val="none"/>
              </w:rPr>
            </w:pPr>
          </w:p>
        </w:tc>
        <w:tc>
          <w:tcPr>
            <w:tcW w:w="2054" w:type="dxa"/>
            <w:gridSpan w:val="2"/>
            <w:tcBorders>
              <w:top w:val="nil"/>
              <w:left w:val="nil"/>
              <w:bottom w:val="single" w:color="auto" w:sz="4" w:space="0"/>
              <w:right w:val="single" w:color="auto" w:sz="4" w:space="0"/>
            </w:tcBorders>
            <w:shd w:val="clear" w:color="auto" w:fill="auto"/>
            <w:vAlign w:val="center"/>
          </w:tcPr>
          <w:p w14:paraId="28E4C18E">
            <w:pPr>
              <w:widowControl/>
              <w:spacing w:line="240" w:lineRule="auto"/>
              <w:ind w:firstLine="0" w:firstLineChars="0"/>
              <w:jc w:val="center"/>
              <w:rPr>
                <w:rFonts w:cs="宋体" w:asciiTheme="minorEastAsia" w:hAnsiTheme="minorEastAsia"/>
                <w:color w:val="auto"/>
                <w:kern w:val="0"/>
                <w:highlight w:val="none"/>
              </w:rPr>
            </w:pPr>
          </w:p>
        </w:tc>
        <w:tc>
          <w:tcPr>
            <w:tcW w:w="1391" w:type="dxa"/>
            <w:tcBorders>
              <w:top w:val="nil"/>
              <w:left w:val="nil"/>
              <w:bottom w:val="single" w:color="auto" w:sz="4" w:space="0"/>
              <w:right w:val="single" w:color="auto" w:sz="4" w:space="0"/>
            </w:tcBorders>
            <w:shd w:val="clear" w:color="auto" w:fill="auto"/>
            <w:vAlign w:val="center"/>
          </w:tcPr>
          <w:p w14:paraId="2ED58355">
            <w:pPr>
              <w:widowControl/>
              <w:spacing w:line="240" w:lineRule="auto"/>
              <w:ind w:firstLine="0" w:firstLineChars="0"/>
              <w:jc w:val="center"/>
              <w:rPr>
                <w:rFonts w:cs="宋体" w:asciiTheme="minorEastAsia" w:hAnsiTheme="minorEastAsia"/>
                <w:color w:val="auto"/>
                <w:kern w:val="0"/>
                <w:highlight w:val="none"/>
              </w:rPr>
            </w:pPr>
          </w:p>
        </w:tc>
        <w:tc>
          <w:tcPr>
            <w:tcW w:w="1517" w:type="dxa"/>
            <w:tcBorders>
              <w:top w:val="nil"/>
              <w:left w:val="nil"/>
              <w:bottom w:val="single" w:color="auto" w:sz="4" w:space="0"/>
              <w:right w:val="single" w:color="auto" w:sz="4" w:space="0"/>
            </w:tcBorders>
            <w:shd w:val="clear" w:color="auto" w:fill="auto"/>
            <w:vAlign w:val="center"/>
          </w:tcPr>
          <w:p w14:paraId="4EEE7641">
            <w:pPr>
              <w:widowControl/>
              <w:spacing w:line="240" w:lineRule="auto"/>
              <w:ind w:firstLine="0" w:firstLineChars="0"/>
              <w:jc w:val="center"/>
              <w:rPr>
                <w:rFonts w:cs="宋体" w:asciiTheme="minorEastAsia" w:hAnsiTheme="minorEastAsia"/>
                <w:color w:val="auto"/>
                <w:kern w:val="0"/>
                <w:highlight w:val="none"/>
              </w:rPr>
            </w:pPr>
          </w:p>
        </w:tc>
        <w:tc>
          <w:tcPr>
            <w:tcW w:w="1892" w:type="dxa"/>
            <w:gridSpan w:val="2"/>
            <w:tcBorders>
              <w:top w:val="nil"/>
              <w:left w:val="nil"/>
              <w:bottom w:val="single" w:color="auto" w:sz="4" w:space="0"/>
              <w:right w:val="single" w:color="auto" w:sz="4" w:space="0"/>
            </w:tcBorders>
            <w:shd w:val="clear" w:color="auto" w:fill="auto"/>
            <w:vAlign w:val="center"/>
          </w:tcPr>
          <w:p w14:paraId="389D40DC">
            <w:pPr>
              <w:widowControl/>
              <w:spacing w:line="240" w:lineRule="auto"/>
              <w:ind w:firstLine="0" w:firstLineChars="0"/>
              <w:jc w:val="center"/>
              <w:rPr>
                <w:rFonts w:cs="宋体" w:asciiTheme="minorEastAsia" w:hAnsiTheme="minorEastAsia"/>
                <w:color w:val="auto"/>
                <w:kern w:val="0"/>
                <w:highlight w:val="none"/>
              </w:rPr>
            </w:pPr>
          </w:p>
        </w:tc>
        <w:tc>
          <w:tcPr>
            <w:tcW w:w="1491" w:type="dxa"/>
            <w:tcBorders>
              <w:top w:val="nil"/>
              <w:left w:val="nil"/>
              <w:bottom w:val="single" w:color="auto" w:sz="4" w:space="0"/>
              <w:right w:val="single" w:color="auto" w:sz="4" w:space="0"/>
            </w:tcBorders>
            <w:shd w:val="clear" w:color="auto" w:fill="auto"/>
            <w:vAlign w:val="center"/>
          </w:tcPr>
          <w:p w14:paraId="127802E2">
            <w:pPr>
              <w:widowControl/>
              <w:spacing w:line="240" w:lineRule="auto"/>
              <w:ind w:firstLine="0" w:firstLineChars="0"/>
              <w:jc w:val="center"/>
              <w:rPr>
                <w:rFonts w:cs="宋体" w:asciiTheme="minorEastAsia" w:hAnsiTheme="minorEastAsia"/>
                <w:color w:val="auto"/>
                <w:kern w:val="0"/>
                <w:highlight w:val="none"/>
              </w:rPr>
            </w:pPr>
          </w:p>
        </w:tc>
        <w:tc>
          <w:tcPr>
            <w:tcW w:w="1173" w:type="dxa"/>
            <w:tcBorders>
              <w:top w:val="nil"/>
              <w:left w:val="nil"/>
              <w:bottom w:val="single" w:color="auto" w:sz="4" w:space="0"/>
              <w:right w:val="single" w:color="auto" w:sz="4" w:space="0"/>
            </w:tcBorders>
            <w:shd w:val="clear" w:color="auto" w:fill="auto"/>
            <w:noWrap/>
            <w:vAlign w:val="center"/>
          </w:tcPr>
          <w:p w14:paraId="77C71F5B">
            <w:pPr>
              <w:widowControl/>
              <w:spacing w:line="240" w:lineRule="auto"/>
              <w:ind w:firstLine="0" w:firstLineChars="0"/>
              <w:jc w:val="center"/>
              <w:rPr>
                <w:rFonts w:cs="宋体" w:asciiTheme="minorEastAsia" w:hAnsiTheme="minorEastAsia"/>
                <w:color w:val="auto"/>
                <w:kern w:val="0"/>
                <w:highlight w:val="none"/>
              </w:rPr>
            </w:pPr>
          </w:p>
        </w:tc>
      </w:tr>
      <w:tr w14:paraId="3E7049EB">
        <w:tblPrEx>
          <w:tblCellMar>
            <w:top w:w="0" w:type="dxa"/>
            <w:left w:w="108" w:type="dxa"/>
            <w:bottom w:w="0" w:type="dxa"/>
            <w:right w:w="108" w:type="dxa"/>
          </w:tblCellMar>
        </w:tblPrEx>
        <w:trPr>
          <w:trHeight w:val="1115" w:hRule="atLeast"/>
        </w:trPr>
        <w:tc>
          <w:tcPr>
            <w:tcW w:w="883" w:type="dxa"/>
            <w:vMerge w:val="restart"/>
            <w:tcBorders>
              <w:top w:val="single" w:color="auto" w:sz="4" w:space="0"/>
              <w:left w:val="single" w:color="auto" w:sz="4" w:space="0"/>
              <w:right w:val="single" w:color="auto" w:sz="4" w:space="0"/>
            </w:tcBorders>
            <w:shd w:val="clear" w:color="auto" w:fill="auto"/>
            <w:vAlign w:val="center"/>
          </w:tcPr>
          <w:p w14:paraId="0171F931">
            <w:pPr>
              <w:widowControl/>
              <w:spacing w:line="240" w:lineRule="auto"/>
              <w:ind w:firstLine="0" w:firstLineChars="0"/>
              <w:jc w:val="left"/>
              <w:rPr>
                <w:rFonts w:cs="宋体" w:asciiTheme="minorEastAsia" w:hAnsiTheme="minorEastAsia"/>
                <w:color w:val="auto"/>
                <w:kern w:val="0"/>
                <w:highlight w:val="none"/>
              </w:rPr>
            </w:pPr>
            <w:r>
              <w:rPr>
                <w:rFonts w:hint="eastAsia" w:cs="宋体" w:asciiTheme="minorEastAsia" w:hAnsiTheme="minorEastAsia"/>
                <w:color w:val="auto"/>
                <w:kern w:val="0"/>
                <w:highlight w:val="none"/>
              </w:rPr>
              <w:t>雨水管道设计</w:t>
            </w:r>
          </w:p>
        </w:tc>
        <w:tc>
          <w:tcPr>
            <w:tcW w:w="3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EE2D4D">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暴雨强度q(l/s.ha)</w:t>
            </w:r>
          </w:p>
        </w:tc>
        <w:tc>
          <w:tcPr>
            <w:tcW w:w="2877" w:type="dxa"/>
            <w:gridSpan w:val="2"/>
            <w:tcBorders>
              <w:top w:val="single" w:color="auto" w:sz="4" w:space="0"/>
              <w:left w:val="nil"/>
              <w:bottom w:val="single" w:color="auto" w:sz="4" w:space="0"/>
              <w:right w:val="single" w:color="auto" w:sz="4" w:space="0"/>
            </w:tcBorders>
            <w:shd w:val="clear" w:color="auto" w:fill="auto"/>
            <w:vAlign w:val="center"/>
          </w:tcPr>
          <w:p w14:paraId="35AA1DDD">
            <w:pPr>
              <w:widowControl/>
              <w:spacing w:line="240" w:lineRule="auto"/>
              <w:ind w:firstLine="0" w:firstLineChars="0"/>
              <w:rPr>
                <w:rFonts w:hint="default" w:eastAsia="宋体" w:cs="宋体" w:asciiTheme="minorEastAsia" w:hAnsiTheme="minorEastAsia"/>
                <w:color w:val="auto"/>
                <w:kern w:val="0"/>
                <w:highlight w:val="none"/>
                <w:lang w:val="en-US" w:eastAsia="zh-CN"/>
              </w:rPr>
            </w:pPr>
            <w:r>
              <w:rPr>
                <w:rFonts w:hint="eastAsia" w:cs="宋体" w:asciiTheme="minorEastAsia" w:hAnsiTheme="minorEastAsia"/>
                <w:color w:val="auto"/>
                <w:kern w:val="0"/>
                <w:highlight w:val="none"/>
              </w:rPr>
              <w:t>　</w:t>
            </w:r>
            <w:r>
              <w:rPr>
                <w:rFonts w:hint="eastAsia" w:cs="宋体" w:asciiTheme="minorEastAsia" w:hAnsiTheme="minorEastAsia"/>
                <w:color w:val="auto"/>
                <w:kern w:val="0"/>
                <w:highlight w:val="none"/>
                <w:lang w:val="en-US" w:eastAsia="zh-CN"/>
              </w:rPr>
              <w:t>430.21</w:t>
            </w:r>
          </w:p>
        </w:tc>
        <w:tc>
          <w:tcPr>
            <w:tcW w:w="2440" w:type="dxa"/>
            <w:gridSpan w:val="2"/>
            <w:tcBorders>
              <w:top w:val="single" w:color="auto" w:sz="4" w:space="0"/>
              <w:left w:val="nil"/>
              <w:bottom w:val="single" w:color="auto" w:sz="4" w:space="0"/>
              <w:right w:val="single" w:color="auto" w:sz="4" w:space="0"/>
            </w:tcBorders>
            <w:shd w:val="clear" w:color="auto" w:fill="auto"/>
            <w:vAlign w:val="center"/>
          </w:tcPr>
          <w:p w14:paraId="592AD133">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重现期P（年）</w:t>
            </w:r>
          </w:p>
        </w:tc>
        <w:tc>
          <w:tcPr>
            <w:tcW w:w="2496" w:type="dxa"/>
            <w:gridSpan w:val="2"/>
            <w:tcBorders>
              <w:top w:val="single" w:color="auto" w:sz="4" w:space="0"/>
              <w:left w:val="nil"/>
              <w:bottom w:val="single" w:color="auto" w:sz="4" w:space="0"/>
              <w:right w:val="single" w:color="auto" w:sz="4" w:space="0"/>
            </w:tcBorders>
            <w:shd w:val="clear" w:color="auto" w:fill="auto"/>
            <w:vAlign w:val="center"/>
          </w:tcPr>
          <w:p w14:paraId="79E36D14">
            <w:pPr>
              <w:widowControl/>
              <w:spacing w:line="240" w:lineRule="auto"/>
              <w:ind w:firstLine="0" w:firstLineChars="0"/>
              <w:rPr>
                <w:rFonts w:hint="eastAsia" w:eastAsia="宋体" w:cs="宋体" w:asciiTheme="minorEastAsia" w:hAnsiTheme="minorEastAsia"/>
                <w:color w:val="auto"/>
                <w:kern w:val="0"/>
                <w:highlight w:val="none"/>
                <w:lang w:val="en-US" w:eastAsia="zh-CN"/>
              </w:rPr>
            </w:pPr>
            <w:r>
              <w:rPr>
                <w:rFonts w:hint="eastAsia" w:cs="宋体" w:asciiTheme="minorEastAsia" w:hAnsiTheme="minorEastAsia"/>
                <w:color w:val="auto"/>
                <w:kern w:val="0"/>
                <w:highlight w:val="none"/>
                <w:lang w:val="en-US" w:eastAsia="zh-CN"/>
              </w:rPr>
              <w:t>5</w:t>
            </w:r>
          </w:p>
        </w:tc>
        <w:tc>
          <w:tcPr>
            <w:tcW w:w="3409" w:type="dxa"/>
            <w:gridSpan w:val="3"/>
            <w:tcBorders>
              <w:top w:val="single" w:color="auto" w:sz="4" w:space="0"/>
              <w:left w:val="nil"/>
              <w:bottom w:val="single" w:color="auto" w:sz="4" w:space="0"/>
              <w:right w:val="single" w:color="auto" w:sz="4" w:space="0"/>
            </w:tcBorders>
            <w:shd w:val="clear" w:color="auto" w:fill="auto"/>
            <w:vAlign w:val="center"/>
          </w:tcPr>
          <w:p w14:paraId="7262F66D">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sz w:val="22"/>
                <w:highlight w:val="none"/>
              </w:rPr>
              <w:t>针对道路雨水排放和削减设置渗排一体化系统(勾选）</w:t>
            </w:r>
          </w:p>
        </w:tc>
        <w:tc>
          <w:tcPr>
            <w:tcW w:w="1491" w:type="dxa"/>
            <w:tcBorders>
              <w:top w:val="nil"/>
              <w:left w:val="nil"/>
              <w:bottom w:val="single" w:color="auto" w:sz="4" w:space="0"/>
              <w:right w:val="single" w:color="auto" w:sz="4" w:space="0"/>
            </w:tcBorders>
            <w:shd w:val="clear" w:color="auto" w:fill="auto"/>
            <w:vAlign w:val="center"/>
          </w:tcPr>
          <w:p w14:paraId="73D77DB3">
            <w:pPr>
              <w:widowControl/>
              <w:spacing w:line="240" w:lineRule="auto"/>
              <w:ind w:firstLine="0" w:firstLineChars="0"/>
              <w:rPr>
                <w:rFonts w:cs="宋体" w:asciiTheme="minorEastAsia" w:hAnsiTheme="minorEastAsia"/>
                <w:color w:val="auto"/>
                <w:kern w:val="0"/>
                <w:highlight w:val="none"/>
              </w:rPr>
            </w:pPr>
            <w:r>
              <w:rPr>
                <w:rFonts w:asciiTheme="majorEastAsia" w:hAnsiTheme="majorEastAsia" w:eastAsiaTheme="majorEastAsia" w:cstheme="majorEastAsia"/>
                <w:color w:val="auto"/>
                <w:kern w:val="0"/>
                <w:sz w:val="22"/>
                <w:szCs w:val="22"/>
                <w:highlight w:val="none"/>
                <w:lang w:bidi="ar"/>
              </w:rPr>
              <w:sym w:font="Wingdings 2" w:char="00A3"/>
            </w:r>
            <w:r>
              <w:rPr>
                <w:rFonts w:hint="eastAsia" w:cs="宋体" w:asciiTheme="minorEastAsia" w:hAnsiTheme="minorEastAsia"/>
                <w:color w:val="auto"/>
                <w:kern w:val="0"/>
                <w:highlight w:val="none"/>
              </w:rPr>
              <w:t>是</w:t>
            </w:r>
          </w:p>
        </w:tc>
        <w:tc>
          <w:tcPr>
            <w:tcW w:w="1173" w:type="dxa"/>
            <w:tcBorders>
              <w:top w:val="nil"/>
              <w:left w:val="nil"/>
              <w:bottom w:val="single" w:color="auto" w:sz="4" w:space="0"/>
              <w:right w:val="single" w:color="auto" w:sz="4" w:space="0"/>
            </w:tcBorders>
            <w:shd w:val="clear" w:color="auto" w:fill="auto"/>
            <w:vAlign w:val="center"/>
          </w:tcPr>
          <w:p w14:paraId="3AB499CC">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否</w:t>
            </w:r>
          </w:p>
        </w:tc>
      </w:tr>
      <w:tr w14:paraId="4D00903E">
        <w:tblPrEx>
          <w:tblCellMar>
            <w:top w:w="0" w:type="dxa"/>
            <w:left w:w="108" w:type="dxa"/>
            <w:bottom w:w="0" w:type="dxa"/>
            <w:right w:w="108" w:type="dxa"/>
          </w:tblCellMar>
        </w:tblPrEx>
        <w:trPr>
          <w:trHeight w:val="565" w:hRule="atLeast"/>
        </w:trPr>
        <w:tc>
          <w:tcPr>
            <w:tcW w:w="883" w:type="dxa"/>
            <w:vMerge w:val="continue"/>
            <w:tcBorders>
              <w:left w:val="single" w:color="auto" w:sz="4" w:space="0"/>
              <w:right w:val="single" w:color="auto" w:sz="4" w:space="0"/>
            </w:tcBorders>
            <w:vAlign w:val="center"/>
          </w:tcPr>
          <w:p w14:paraId="4F6AE43C">
            <w:pPr>
              <w:widowControl/>
              <w:spacing w:line="240" w:lineRule="auto"/>
              <w:ind w:firstLine="0" w:firstLineChars="0"/>
              <w:jc w:val="left"/>
              <w:rPr>
                <w:rFonts w:cs="宋体" w:asciiTheme="minorEastAsia" w:hAnsiTheme="minorEastAsia"/>
                <w:color w:val="auto"/>
                <w:kern w:val="0"/>
                <w:highlight w:val="none"/>
              </w:rPr>
            </w:pPr>
          </w:p>
        </w:tc>
        <w:tc>
          <w:tcPr>
            <w:tcW w:w="3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536707">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建设前综合径流系数</w:t>
            </w:r>
          </w:p>
        </w:tc>
        <w:tc>
          <w:tcPr>
            <w:tcW w:w="2877" w:type="dxa"/>
            <w:gridSpan w:val="2"/>
            <w:tcBorders>
              <w:top w:val="single" w:color="auto" w:sz="4" w:space="0"/>
              <w:left w:val="nil"/>
              <w:bottom w:val="single" w:color="auto" w:sz="4" w:space="0"/>
              <w:right w:val="single" w:color="auto" w:sz="4" w:space="0"/>
            </w:tcBorders>
            <w:shd w:val="clear" w:color="auto" w:fill="auto"/>
            <w:vAlign w:val="center"/>
          </w:tcPr>
          <w:p w14:paraId="0B4CAFA6">
            <w:pPr>
              <w:widowControl/>
              <w:spacing w:line="240" w:lineRule="auto"/>
              <w:ind w:firstLine="0" w:firstLineChars="0"/>
              <w:rPr>
                <w:rFonts w:hint="default" w:eastAsia="宋体" w:cs="宋体" w:asciiTheme="minorEastAsia" w:hAnsiTheme="minorEastAsia"/>
                <w:color w:val="auto"/>
                <w:kern w:val="0"/>
                <w:highlight w:val="none"/>
                <w:lang w:val="en-US" w:eastAsia="zh-CN"/>
              </w:rPr>
            </w:pPr>
            <w:r>
              <w:rPr>
                <w:rFonts w:hint="eastAsia" w:cs="宋体" w:asciiTheme="minorEastAsia" w:hAnsiTheme="minorEastAsia"/>
                <w:color w:val="auto"/>
                <w:kern w:val="0"/>
                <w:highlight w:val="none"/>
              </w:rPr>
              <w:t>0.</w:t>
            </w:r>
            <w:r>
              <w:rPr>
                <w:rFonts w:hint="eastAsia" w:cs="宋体" w:asciiTheme="minorEastAsia" w:hAnsiTheme="minorEastAsia"/>
                <w:color w:val="auto"/>
                <w:kern w:val="0"/>
                <w:highlight w:val="none"/>
                <w:lang w:val="en-US" w:eastAsia="zh-CN"/>
              </w:rPr>
              <w:t>173</w:t>
            </w:r>
          </w:p>
        </w:tc>
        <w:tc>
          <w:tcPr>
            <w:tcW w:w="4936" w:type="dxa"/>
            <w:gridSpan w:val="4"/>
            <w:tcBorders>
              <w:top w:val="single" w:color="auto" w:sz="4" w:space="0"/>
              <w:left w:val="nil"/>
              <w:bottom w:val="single" w:color="auto" w:sz="4" w:space="0"/>
              <w:right w:val="single" w:color="auto" w:sz="4" w:space="0"/>
            </w:tcBorders>
            <w:shd w:val="clear" w:color="auto" w:fill="auto"/>
            <w:vAlign w:val="center"/>
          </w:tcPr>
          <w:p w14:paraId="32D870DC">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建设后综合径流系数</w:t>
            </w:r>
          </w:p>
        </w:tc>
        <w:tc>
          <w:tcPr>
            <w:tcW w:w="6073" w:type="dxa"/>
            <w:gridSpan w:val="5"/>
            <w:tcBorders>
              <w:top w:val="nil"/>
              <w:left w:val="nil"/>
              <w:bottom w:val="single" w:color="auto" w:sz="4" w:space="0"/>
              <w:right w:val="single" w:color="auto" w:sz="4" w:space="0"/>
            </w:tcBorders>
            <w:shd w:val="clear" w:color="auto" w:fill="auto"/>
            <w:vAlign w:val="center"/>
          </w:tcPr>
          <w:p w14:paraId="35D7FA4B">
            <w:pPr>
              <w:widowControl/>
              <w:spacing w:line="240" w:lineRule="auto"/>
              <w:ind w:firstLine="0" w:firstLineChars="0"/>
              <w:jc w:val="center"/>
              <w:rPr>
                <w:rFonts w:hint="default" w:eastAsia="宋体" w:cs="宋体" w:asciiTheme="minorEastAsia" w:hAnsiTheme="minorEastAsia"/>
                <w:color w:val="auto"/>
                <w:kern w:val="0"/>
                <w:highlight w:val="none"/>
                <w:lang w:val="en-US" w:eastAsia="zh-CN"/>
              </w:rPr>
            </w:pPr>
            <w:r>
              <w:rPr>
                <w:rFonts w:hint="eastAsia" w:cs="宋体" w:asciiTheme="minorEastAsia" w:hAnsiTheme="minorEastAsia"/>
                <w:color w:val="auto"/>
                <w:kern w:val="0"/>
                <w:highlight w:val="none"/>
              </w:rPr>
              <w:t>0.</w:t>
            </w:r>
            <w:r>
              <w:rPr>
                <w:rFonts w:hint="eastAsia" w:cs="宋体" w:asciiTheme="minorEastAsia" w:hAnsiTheme="minorEastAsia"/>
                <w:color w:val="auto"/>
                <w:kern w:val="0"/>
                <w:highlight w:val="none"/>
                <w:lang w:val="en-US" w:eastAsia="zh-CN"/>
              </w:rPr>
              <w:t>502</w:t>
            </w:r>
          </w:p>
        </w:tc>
      </w:tr>
      <w:tr w14:paraId="54E93946">
        <w:tblPrEx>
          <w:tblCellMar>
            <w:top w:w="0" w:type="dxa"/>
            <w:left w:w="108" w:type="dxa"/>
            <w:bottom w:w="0" w:type="dxa"/>
            <w:right w:w="108" w:type="dxa"/>
          </w:tblCellMar>
        </w:tblPrEx>
        <w:trPr>
          <w:trHeight w:val="565" w:hRule="atLeast"/>
        </w:trPr>
        <w:tc>
          <w:tcPr>
            <w:tcW w:w="883" w:type="dxa"/>
            <w:vMerge w:val="continue"/>
            <w:tcBorders>
              <w:left w:val="single" w:color="auto" w:sz="4" w:space="0"/>
              <w:right w:val="single" w:color="auto" w:sz="4" w:space="0"/>
            </w:tcBorders>
            <w:vAlign w:val="center"/>
          </w:tcPr>
          <w:p w14:paraId="15EAA453">
            <w:pPr>
              <w:widowControl/>
              <w:spacing w:line="240" w:lineRule="auto"/>
              <w:ind w:firstLine="0" w:firstLineChars="0"/>
              <w:jc w:val="left"/>
              <w:rPr>
                <w:rFonts w:cs="宋体" w:asciiTheme="minorEastAsia" w:hAnsiTheme="minorEastAsia"/>
                <w:color w:val="auto"/>
                <w:kern w:val="0"/>
                <w:highlight w:val="none"/>
              </w:rPr>
            </w:pPr>
          </w:p>
        </w:tc>
        <w:tc>
          <w:tcPr>
            <w:tcW w:w="3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DC913F">
            <w:pPr>
              <w:widowControl/>
              <w:spacing w:line="240" w:lineRule="auto"/>
              <w:ind w:firstLine="0" w:firstLineChars="0"/>
              <w:jc w:val="center"/>
              <w:rPr>
                <w:rFonts w:cs="宋体" w:asciiTheme="minorEastAsia" w:hAnsiTheme="minorEastAsia"/>
                <w:color w:val="auto"/>
                <w:kern w:val="0"/>
                <w:sz w:val="21"/>
                <w:szCs w:val="21"/>
                <w:highlight w:val="none"/>
              </w:rPr>
            </w:pPr>
            <w:r>
              <w:rPr>
                <w:rFonts w:hint="eastAsia" w:eastAsia="宋体" w:cs="宋体" w:asciiTheme="minorEastAsia" w:hAnsiTheme="minorEastAsia"/>
                <w:color w:val="auto"/>
                <w:kern w:val="0"/>
                <w:highlight w:val="none"/>
              </w:rPr>
              <w:t>建设前总雨水径流量（L/s）</w:t>
            </w:r>
          </w:p>
        </w:tc>
        <w:tc>
          <w:tcPr>
            <w:tcW w:w="2877" w:type="dxa"/>
            <w:gridSpan w:val="2"/>
            <w:tcBorders>
              <w:top w:val="single" w:color="auto" w:sz="4" w:space="0"/>
              <w:left w:val="nil"/>
              <w:bottom w:val="single" w:color="auto" w:sz="4" w:space="0"/>
              <w:right w:val="single" w:color="auto" w:sz="4" w:space="0"/>
            </w:tcBorders>
            <w:shd w:val="clear" w:color="auto" w:fill="auto"/>
            <w:vAlign w:val="center"/>
          </w:tcPr>
          <w:p w14:paraId="1E964E26">
            <w:pPr>
              <w:widowControl/>
              <w:spacing w:line="240" w:lineRule="auto"/>
              <w:ind w:firstLine="0" w:firstLineChars="0"/>
              <w:rPr>
                <w:rFonts w:cs="宋体" w:asciiTheme="minorEastAsia" w:hAnsiTheme="minorEastAsia"/>
                <w:color w:val="auto"/>
                <w:kern w:val="0"/>
                <w:highlight w:val="none"/>
              </w:rPr>
            </w:pPr>
            <w:r>
              <w:rPr>
                <w:rFonts w:hint="eastAsia" w:ascii="宋体" w:hAnsi="宋体" w:cs="宋体"/>
                <w:color w:val="auto"/>
                <w:sz w:val="24"/>
                <w:szCs w:val="24"/>
                <w:highlight w:val="yellow"/>
                <w:lang w:val="en-US" w:eastAsia="zh-CN"/>
              </w:rPr>
              <w:t>130.67</w:t>
            </w:r>
          </w:p>
        </w:tc>
        <w:tc>
          <w:tcPr>
            <w:tcW w:w="4936" w:type="dxa"/>
            <w:gridSpan w:val="4"/>
            <w:tcBorders>
              <w:top w:val="single" w:color="auto" w:sz="4" w:space="0"/>
              <w:left w:val="nil"/>
              <w:bottom w:val="single" w:color="auto" w:sz="4" w:space="0"/>
              <w:right w:val="single" w:color="auto" w:sz="4" w:space="0"/>
            </w:tcBorders>
            <w:shd w:val="clear" w:color="auto" w:fill="auto"/>
            <w:vAlign w:val="center"/>
          </w:tcPr>
          <w:p w14:paraId="2986E83C">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建设后总雨水径流量</w:t>
            </w:r>
            <w:r>
              <w:rPr>
                <w:rFonts w:hint="eastAsia"/>
                <w:color w:val="auto"/>
                <w:highlight w:val="none"/>
              </w:rPr>
              <w:t>（</w:t>
            </w:r>
            <w:r>
              <w:rPr>
                <w:color w:val="auto"/>
                <w:highlight w:val="none"/>
              </w:rPr>
              <w:t>L/s</w:t>
            </w:r>
            <w:r>
              <w:rPr>
                <w:rFonts w:hint="eastAsia"/>
                <w:color w:val="auto"/>
                <w:highlight w:val="none"/>
              </w:rPr>
              <w:t>）</w:t>
            </w:r>
          </w:p>
        </w:tc>
        <w:tc>
          <w:tcPr>
            <w:tcW w:w="6073" w:type="dxa"/>
            <w:gridSpan w:val="5"/>
            <w:tcBorders>
              <w:top w:val="nil"/>
              <w:left w:val="nil"/>
              <w:bottom w:val="single" w:color="auto" w:sz="4" w:space="0"/>
              <w:right w:val="single" w:color="auto" w:sz="4" w:space="0"/>
            </w:tcBorders>
            <w:shd w:val="clear" w:color="auto" w:fill="auto"/>
            <w:vAlign w:val="center"/>
          </w:tcPr>
          <w:p w14:paraId="04A880AD">
            <w:pPr>
              <w:widowControl/>
              <w:spacing w:line="240" w:lineRule="auto"/>
              <w:ind w:firstLine="0" w:firstLineChars="0"/>
              <w:jc w:val="center"/>
              <w:rPr>
                <w:rFonts w:cs="宋体" w:asciiTheme="minorEastAsia" w:hAnsiTheme="minorEastAsia"/>
                <w:color w:val="auto"/>
                <w:kern w:val="0"/>
                <w:highlight w:val="none"/>
              </w:rPr>
            </w:pPr>
            <w:r>
              <w:rPr>
                <w:rFonts w:hint="eastAsia" w:ascii="宋体" w:hAnsi="宋体" w:cs="宋体"/>
                <w:color w:val="auto"/>
                <w:sz w:val="24"/>
                <w:szCs w:val="24"/>
                <w:highlight w:val="yellow"/>
                <w:lang w:val="en-US" w:eastAsia="zh-CN"/>
              </w:rPr>
              <w:t>379.17</w:t>
            </w:r>
          </w:p>
        </w:tc>
      </w:tr>
      <w:tr w14:paraId="4222D814">
        <w:tblPrEx>
          <w:tblCellMar>
            <w:top w:w="0" w:type="dxa"/>
            <w:left w:w="108" w:type="dxa"/>
            <w:bottom w:w="0" w:type="dxa"/>
            <w:right w:w="108" w:type="dxa"/>
          </w:tblCellMar>
        </w:tblPrEx>
        <w:trPr>
          <w:trHeight w:val="1215" w:hRule="atLeast"/>
        </w:trPr>
        <w:tc>
          <w:tcPr>
            <w:tcW w:w="883" w:type="dxa"/>
            <w:vMerge w:val="continue"/>
            <w:tcBorders>
              <w:left w:val="single" w:color="auto" w:sz="4" w:space="0"/>
              <w:right w:val="single" w:color="auto" w:sz="4" w:space="0"/>
            </w:tcBorders>
            <w:vAlign w:val="center"/>
          </w:tcPr>
          <w:p w14:paraId="7C28C308">
            <w:pPr>
              <w:widowControl/>
              <w:spacing w:line="240" w:lineRule="auto"/>
              <w:ind w:firstLine="0" w:firstLineChars="0"/>
              <w:jc w:val="left"/>
              <w:rPr>
                <w:rFonts w:cs="宋体" w:asciiTheme="minorEastAsia" w:hAnsiTheme="minorEastAsia"/>
                <w:color w:val="auto"/>
                <w:kern w:val="0"/>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12E48AA9">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拟建管道位置</w:t>
            </w:r>
          </w:p>
        </w:tc>
        <w:tc>
          <w:tcPr>
            <w:tcW w:w="1767" w:type="dxa"/>
            <w:tcBorders>
              <w:top w:val="single" w:color="auto" w:sz="4" w:space="0"/>
              <w:left w:val="nil"/>
              <w:bottom w:val="single" w:color="auto" w:sz="4" w:space="0"/>
              <w:right w:val="single" w:color="auto" w:sz="4" w:space="0"/>
            </w:tcBorders>
            <w:shd w:val="clear" w:color="auto" w:fill="auto"/>
            <w:vAlign w:val="center"/>
          </w:tcPr>
          <w:p w14:paraId="59F50E3F">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雨水量取值指标（m</w:t>
            </w:r>
            <w:r>
              <w:rPr>
                <w:rFonts w:hint="eastAsia" w:cs="宋体" w:asciiTheme="minorEastAsia" w:hAnsiTheme="minorEastAsia"/>
                <w:color w:val="auto"/>
                <w:kern w:val="0"/>
                <w:highlight w:val="none"/>
                <w:vertAlign w:val="superscript"/>
              </w:rPr>
              <w:t>3</w:t>
            </w:r>
            <w:r>
              <w:rPr>
                <w:rFonts w:hint="eastAsia" w:cs="宋体" w:asciiTheme="minorEastAsia" w:hAnsiTheme="minorEastAsia"/>
                <w:color w:val="auto"/>
                <w:kern w:val="0"/>
                <w:highlight w:val="none"/>
              </w:rPr>
              <w:t>/s·ha)</w:t>
            </w:r>
          </w:p>
        </w:tc>
        <w:tc>
          <w:tcPr>
            <w:tcW w:w="1085" w:type="dxa"/>
            <w:tcBorders>
              <w:top w:val="single" w:color="auto" w:sz="4" w:space="0"/>
              <w:left w:val="nil"/>
              <w:bottom w:val="single" w:color="auto" w:sz="4" w:space="0"/>
              <w:right w:val="single" w:color="auto" w:sz="4" w:space="0"/>
            </w:tcBorders>
            <w:shd w:val="clear" w:color="auto" w:fill="auto"/>
            <w:vAlign w:val="center"/>
          </w:tcPr>
          <w:p w14:paraId="145C303F">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汇水范围(ha)</w:t>
            </w:r>
          </w:p>
        </w:tc>
        <w:tc>
          <w:tcPr>
            <w:tcW w:w="1792" w:type="dxa"/>
            <w:tcBorders>
              <w:top w:val="single" w:color="auto" w:sz="4" w:space="0"/>
              <w:left w:val="nil"/>
              <w:bottom w:val="single" w:color="auto" w:sz="4" w:space="0"/>
              <w:right w:val="single" w:color="auto" w:sz="4" w:space="0"/>
            </w:tcBorders>
            <w:shd w:val="clear" w:color="auto" w:fill="auto"/>
            <w:vAlign w:val="center"/>
          </w:tcPr>
          <w:p w14:paraId="5F1E9DD3">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预测雨水量(m</w:t>
            </w:r>
            <w:r>
              <w:rPr>
                <w:rFonts w:hint="eastAsia" w:cs="宋体" w:asciiTheme="minorEastAsia" w:hAnsiTheme="minorEastAsia"/>
                <w:color w:val="auto"/>
                <w:kern w:val="0"/>
                <w:highlight w:val="none"/>
                <w:vertAlign w:val="superscript"/>
              </w:rPr>
              <w:t>3</w:t>
            </w:r>
            <w:r>
              <w:rPr>
                <w:rFonts w:hint="eastAsia" w:cs="宋体" w:asciiTheme="minorEastAsia" w:hAnsiTheme="minorEastAsia"/>
                <w:color w:val="auto"/>
                <w:kern w:val="0"/>
                <w:highlight w:val="none"/>
              </w:rPr>
              <w:t>/s)</w:t>
            </w:r>
          </w:p>
        </w:tc>
        <w:tc>
          <w:tcPr>
            <w:tcW w:w="1491" w:type="dxa"/>
            <w:tcBorders>
              <w:top w:val="single" w:color="auto" w:sz="4" w:space="0"/>
              <w:left w:val="nil"/>
              <w:bottom w:val="single" w:color="auto" w:sz="4" w:space="0"/>
              <w:right w:val="single" w:color="auto" w:sz="4" w:space="0"/>
            </w:tcBorders>
            <w:shd w:val="clear" w:color="auto" w:fill="auto"/>
            <w:vAlign w:val="center"/>
          </w:tcPr>
          <w:p w14:paraId="7B5520DB">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管径</w:t>
            </w:r>
          </w:p>
          <w:p w14:paraId="694D7D70">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（mm）</w:t>
            </w:r>
          </w:p>
        </w:tc>
        <w:tc>
          <w:tcPr>
            <w:tcW w:w="2054" w:type="dxa"/>
            <w:gridSpan w:val="2"/>
            <w:tcBorders>
              <w:top w:val="single" w:color="auto" w:sz="4" w:space="0"/>
              <w:left w:val="nil"/>
              <w:bottom w:val="single" w:color="auto" w:sz="4" w:space="0"/>
              <w:right w:val="single" w:color="auto" w:sz="4" w:space="0"/>
            </w:tcBorders>
            <w:shd w:val="clear" w:color="auto" w:fill="auto"/>
            <w:vAlign w:val="center"/>
          </w:tcPr>
          <w:p w14:paraId="75B29F1E">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管道设计坡度</w:t>
            </w:r>
          </w:p>
        </w:tc>
        <w:tc>
          <w:tcPr>
            <w:tcW w:w="1391" w:type="dxa"/>
            <w:tcBorders>
              <w:top w:val="single" w:color="auto" w:sz="4" w:space="0"/>
              <w:left w:val="nil"/>
              <w:bottom w:val="single" w:color="auto" w:sz="4" w:space="0"/>
              <w:right w:val="single" w:color="auto" w:sz="4" w:space="0"/>
            </w:tcBorders>
            <w:shd w:val="clear" w:color="auto" w:fill="auto"/>
            <w:vAlign w:val="center"/>
          </w:tcPr>
          <w:p w14:paraId="4F370133">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设计流速(m/s)</w:t>
            </w:r>
          </w:p>
        </w:tc>
        <w:tc>
          <w:tcPr>
            <w:tcW w:w="1536" w:type="dxa"/>
            <w:gridSpan w:val="2"/>
            <w:tcBorders>
              <w:top w:val="single" w:color="auto" w:sz="4" w:space="0"/>
              <w:left w:val="nil"/>
              <w:bottom w:val="single" w:color="auto" w:sz="4" w:space="0"/>
              <w:right w:val="single" w:color="auto" w:sz="4" w:space="0"/>
            </w:tcBorders>
            <w:shd w:val="clear" w:color="auto" w:fill="auto"/>
            <w:vAlign w:val="center"/>
          </w:tcPr>
          <w:p w14:paraId="7E4ABA2A">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管道长度</w:t>
            </w:r>
          </w:p>
          <w:p w14:paraId="3B97736A">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（m）</w:t>
            </w:r>
          </w:p>
        </w:tc>
        <w:tc>
          <w:tcPr>
            <w:tcW w:w="1873" w:type="dxa"/>
            <w:tcBorders>
              <w:top w:val="single" w:color="auto" w:sz="4" w:space="0"/>
              <w:left w:val="nil"/>
              <w:bottom w:val="single" w:color="auto" w:sz="4" w:space="0"/>
              <w:right w:val="single" w:color="auto" w:sz="4" w:space="0"/>
            </w:tcBorders>
            <w:shd w:val="clear" w:color="auto" w:fill="auto"/>
            <w:vAlign w:val="center"/>
          </w:tcPr>
          <w:p w14:paraId="7AFCF79A">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管材</w:t>
            </w:r>
          </w:p>
        </w:tc>
        <w:tc>
          <w:tcPr>
            <w:tcW w:w="1491" w:type="dxa"/>
            <w:tcBorders>
              <w:top w:val="single" w:color="auto" w:sz="4" w:space="0"/>
              <w:left w:val="nil"/>
              <w:bottom w:val="single" w:color="auto" w:sz="4" w:space="0"/>
              <w:right w:val="single" w:color="auto" w:sz="4" w:space="0"/>
            </w:tcBorders>
            <w:shd w:val="clear" w:color="auto" w:fill="auto"/>
            <w:vAlign w:val="center"/>
          </w:tcPr>
          <w:p w14:paraId="0114DDC9">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拟接驳下游管道管径</w:t>
            </w:r>
          </w:p>
        </w:tc>
        <w:tc>
          <w:tcPr>
            <w:tcW w:w="1173" w:type="dxa"/>
            <w:tcBorders>
              <w:top w:val="single" w:color="auto" w:sz="4" w:space="0"/>
              <w:left w:val="nil"/>
              <w:bottom w:val="single" w:color="auto" w:sz="4" w:space="0"/>
              <w:right w:val="single" w:color="auto" w:sz="4" w:space="0"/>
            </w:tcBorders>
            <w:shd w:val="clear" w:color="auto" w:fill="auto"/>
            <w:vAlign w:val="center"/>
          </w:tcPr>
          <w:p w14:paraId="421C10A0">
            <w:pPr>
              <w:widowControl/>
              <w:spacing w:line="240" w:lineRule="auto"/>
              <w:ind w:firstLine="0" w:firstLineChars="0"/>
              <w:rPr>
                <w:rFonts w:cs="宋体" w:asciiTheme="minorEastAsia" w:hAnsiTheme="minorEastAsia"/>
                <w:color w:val="auto"/>
                <w:kern w:val="0"/>
                <w:highlight w:val="none"/>
              </w:rPr>
            </w:pPr>
            <w:r>
              <w:rPr>
                <w:rFonts w:hint="eastAsia" w:cs="宋体" w:asciiTheme="minorEastAsia" w:hAnsiTheme="minorEastAsia"/>
                <w:color w:val="auto"/>
                <w:kern w:val="0"/>
                <w:highlight w:val="none"/>
              </w:rPr>
              <w:t>备注</w:t>
            </w:r>
          </w:p>
        </w:tc>
      </w:tr>
      <w:tr w14:paraId="6EFB45A4">
        <w:tblPrEx>
          <w:tblCellMar>
            <w:top w:w="0" w:type="dxa"/>
            <w:left w:w="108" w:type="dxa"/>
            <w:bottom w:w="0" w:type="dxa"/>
            <w:right w:w="108" w:type="dxa"/>
          </w:tblCellMar>
        </w:tblPrEx>
        <w:trPr>
          <w:trHeight w:val="565" w:hRule="atLeast"/>
        </w:trPr>
        <w:tc>
          <w:tcPr>
            <w:tcW w:w="883" w:type="dxa"/>
            <w:vMerge w:val="continue"/>
            <w:tcBorders>
              <w:left w:val="single" w:color="auto" w:sz="4" w:space="0"/>
              <w:right w:val="single" w:color="auto" w:sz="4" w:space="0"/>
            </w:tcBorders>
            <w:vAlign w:val="center"/>
          </w:tcPr>
          <w:p w14:paraId="35B40FC6">
            <w:pPr>
              <w:widowControl/>
              <w:spacing w:line="240" w:lineRule="auto"/>
              <w:ind w:firstLine="0" w:firstLineChars="0"/>
              <w:jc w:val="left"/>
              <w:rPr>
                <w:rFonts w:cs="宋体" w:asciiTheme="minorEastAsia" w:hAnsiTheme="minorEastAsia"/>
                <w:color w:val="auto"/>
                <w:kern w:val="0"/>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119C4BF1">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永安东路北侧</w:t>
            </w:r>
          </w:p>
        </w:tc>
        <w:tc>
          <w:tcPr>
            <w:tcW w:w="1767" w:type="dxa"/>
            <w:tcBorders>
              <w:top w:val="single" w:color="auto" w:sz="4" w:space="0"/>
              <w:left w:val="nil"/>
              <w:bottom w:val="single" w:color="auto" w:sz="4" w:space="0"/>
              <w:right w:val="single" w:color="auto" w:sz="4" w:space="0"/>
            </w:tcBorders>
            <w:shd w:val="clear" w:color="auto" w:fill="auto"/>
            <w:vAlign w:val="center"/>
          </w:tcPr>
          <w:p w14:paraId="0A79BD72">
            <w:pPr>
              <w:widowControl/>
              <w:spacing w:line="240" w:lineRule="auto"/>
              <w:ind w:firstLine="0" w:firstLineChars="0"/>
              <w:rPr>
                <w:rFonts w:hint="eastAsia" w:eastAsia="宋体" w:cs="宋体" w:asciiTheme="minorEastAsia" w:hAnsiTheme="minorEastAsia"/>
                <w:color w:val="auto"/>
                <w:kern w:val="0"/>
                <w:highlight w:val="none"/>
                <w:lang w:val="en-US" w:eastAsia="zh-CN"/>
              </w:rPr>
            </w:pPr>
            <w:r>
              <w:rPr>
                <w:rFonts w:hint="eastAsia" w:cs="宋体" w:asciiTheme="minorEastAsia" w:hAnsiTheme="minorEastAsia"/>
                <w:color w:val="auto"/>
                <w:kern w:val="0"/>
                <w:highlight w:val="none"/>
              </w:rPr>
              <w:t>0.5471</w:t>
            </w:r>
            <w:r>
              <w:rPr>
                <w:rFonts w:hint="eastAsia" w:cs="宋体" w:asciiTheme="minorEastAsia" w:hAnsiTheme="minorEastAsia"/>
                <w:color w:val="auto"/>
                <w:kern w:val="0"/>
                <w:highlight w:val="none"/>
                <w:lang w:val="en-US" w:eastAsia="zh-CN"/>
              </w:rPr>
              <w:t>4</w:t>
            </w:r>
          </w:p>
        </w:tc>
        <w:tc>
          <w:tcPr>
            <w:tcW w:w="1085" w:type="dxa"/>
            <w:tcBorders>
              <w:top w:val="single" w:color="auto" w:sz="4" w:space="0"/>
              <w:left w:val="nil"/>
              <w:bottom w:val="single" w:color="auto" w:sz="4" w:space="0"/>
              <w:right w:val="single" w:color="auto" w:sz="4" w:space="0"/>
            </w:tcBorders>
            <w:shd w:val="clear" w:color="auto" w:fill="auto"/>
            <w:vAlign w:val="center"/>
          </w:tcPr>
          <w:p w14:paraId="41CFEEA6">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2.47</w:t>
            </w:r>
          </w:p>
        </w:tc>
        <w:tc>
          <w:tcPr>
            <w:tcW w:w="1792" w:type="dxa"/>
            <w:tcBorders>
              <w:top w:val="single" w:color="auto" w:sz="4" w:space="0"/>
              <w:left w:val="nil"/>
              <w:bottom w:val="single" w:color="auto" w:sz="4" w:space="0"/>
              <w:right w:val="single" w:color="auto" w:sz="4" w:space="0"/>
            </w:tcBorders>
            <w:shd w:val="clear" w:color="auto" w:fill="auto"/>
            <w:vAlign w:val="center"/>
          </w:tcPr>
          <w:p w14:paraId="303310D5">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0.6</w:t>
            </w:r>
            <w:r>
              <w:rPr>
                <w:rFonts w:cs="宋体" w:asciiTheme="minorEastAsia" w:hAnsiTheme="minorEastAsia"/>
                <w:color w:val="auto"/>
                <w:kern w:val="0"/>
                <w:highlight w:val="none"/>
              </w:rPr>
              <w:t>2619</w:t>
            </w:r>
          </w:p>
        </w:tc>
        <w:tc>
          <w:tcPr>
            <w:tcW w:w="1491" w:type="dxa"/>
            <w:tcBorders>
              <w:top w:val="single" w:color="auto" w:sz="4" w:space="0"/>
              <w:left w:val="nil"/>
              <w:bottom w:val="single" w:color="auto" w:sz="4" w:space="0"/>
              <w:right w:val="single" w:color="auto" w:sz="4" w:space="0"/>
            </w:tcBorders>
            <w:shd w:val="clear" w:color="auto" w:fill="auto"/>
            <w:vAlign w:val="center"/>
          </w:tcPr>
          <w:p w14:paraId="10EACB6C">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800</w:t>
            </w:r>
          </w:p>
        </w:tc>
        <w:tc>
          <w:tcPr>
            <w:tcW w:w="2054" w:type="dxa"/>
            <w:gridSpan w:val="2"/>
            <w:tcBorders>
              <w:top w:val="single" w:color="auto" w:sz="4" w:space="0"/>
              <w:left w:val="nil"/>
              <w:bottom w:val="single" w:color="auto" w:sz="4" w:space="0"/>
              <w:right w:val="single" w:color="auto" w:sz="4" w:space="0"/>
            </w:tcBorders>
            <w:shd w:val="clear" w:color="auto" w:fill="auto"/>
            <w:vAlign w:val="center"/>
          </w:tcPr>
          <w:p w14:paraId="09423803">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20‰</w:t>
            </w:r>
          </w:p>
        </w:tc>
        <w:tc>
          <w:tcPr>
            <w:tcW w:w="1391" w:type="dxa"/>
            <w:tcBorders>
              <w:top w:val="single" w:color="auto" w:sz="4" w:space="0"/>
              <w:left w:val="nil"/>
              <w:bottom w:val="single" w:color="auto" w:sz="4" w:space="0"/>
              <w:right w:val="single" w:color="auto" w:sz="4" w:space="0"/>
            </w:tcBorders>
            <w:shd w:val="clear" w:color="auto" w:fill="auto"/>
            <w:vAlign w:val="center"/>
          </w:tcPr>
          <w:p w14:paraId="3042E682">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3.72</w:t>
            </w:r>
          </w:p>
        </w:tc>
        <w:tc>
          <w:tcPr>
            <w:tcW w:w="1536" w:type="dxa"/>
            <w:gridSpan w:val="2"/>
            <w:tcBorders>
              <w:top w:val="single" w:color="auto" w:sz="4" w:space="0"/>
              <w:left w:val="nil"/>
              <w:bottom w:val="single" w:color="auto" w:sz="4" w:space="0"/>
              <w:right w:val="single" w:color="auto" w:sz="4" w:space="0"/>
            </w:tcBorders>
            <w:shd w:val="clear" w:color="auto" w:fill="auto"/>
            <w:vAlign w:val="center"/>
          </w:tcPr>
          <w:p w14:paraId="1549EF70">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2</w:t>
            </w:r>
            <w:r>
              <w:rPr>
                <w:rFonts w:cs="宋体" w:asciiTheme="minorEastAsia" w:hAnsiTheme="minorEastAsia"/>
                <w:color w:val="auto"/>
                <w:kern w:val="0"/>
                <w:highlight w:val="none"/>
              </w:rPr>
              <w:t>81</w:t>
            </w:r>
          </w:p>
        </w:tc>
        <w:tc>
          <w:tcPr>
            <w:tcW w:w="1873" w:type="dxa"/>
            <w:tcBorders>
              <w:top w:val="single" w:color="auto" w:sz="4" w:space="0"/>
              <w:left w:val="nil"/>
              <w:bottom w:val="single" w:color="auto" w:sz="4" w:space="0"/>
              <w:right w:val="single" w:color="auto" w:sz="4" w:space="0"/>
            </w:tcBorders>
            <w:shd w:val="clear" w:color="auto" w:fill="auto"/>
            <w:vAlign w:val="center"/>
          </w:tcPr>
          <w:p w14:paraId="3E5A3433">
            <w:pPr>
              <w:widowControl/>
              <w:spacing w:line="240" w:lineRule="auto"/>
              <w:ind w:firstLine="0" w:firstLineChars="0"/>
              <w:jc w:val="center"/>
              <w:rPr>
                <w:rFonts w:cs="宋体" w:asciiTheme="minorEastAsia" w:hAnsiTheme="minorEastAsia"/>
                <w:color w:val="auto"/>
                <w:kern w:val="0"/>
                <w:sz w:val="21"/>
                <w:szCs w:val="21"/>
                <w:highlight w:val="none"/>
              </w:rPr>
            </w:pPr>
            <w:r>
              <w:rPr>
                <w:rFonts w:hint="eastAsia"/>
                <w:color w:val="auto"/>
                <w:sz w:val="21"/>
                <w:szCs w:val="21"/>
                <w:highlight w:val="none"/>
              </w:rPr>
              <w:t>Ⅱ级钢筋砼管</w:t>
            </w:r>
          </w:p>
        </w:tc>
        <w:tc>
          <w:tcPr>
            <w:tcW w:w="1491" w:type="dxa"/>
            <w:tcBorders>
              <w:top w:val="single" w:color="auto" w:sz="4" w:space="0"/>
              <w:left w:val="nil"/>
              <w:bottom w:val="single" w:color="auto" w:sz="4" w:space="0"/>
              <w:right w:val="single" w:color="auto" w:sz="4" w:space="0"/>
            </w:tcBorders>
            <w:shd w:val="clear" w:color="auto" w:fill="auto"/>
            <w:vAlign w:val="center"/>
          </w:tcPr>
          <w:p w14:paraId="4E31B84F">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1000</w:t>
            </w:r>
          </w:p>
        </w:tc>
        <w:tc>
          <w:tcPr>
            <w:tcW w:w="1173" w:type="dxa"/>
            <w:tcBorders>
              <w:top w:val="single" w:color="auto" w:sz="4" w:space="0"/>
              <w:left w:val="nil"/>
              <w:bottom w:val="single" w:color="auto" w:sz="4" w:space="0"/>
              <w:right w:val="single" w:color="auto" w:sz="4" w:space="0"/>
            </w:tcBorders>
            <w:shd w:val="clear" w:color="auto" w:fill="auto"/>
            <w:noWrap/>
            <w:vAlign w:val="center"/>
          </w:tcPr>
          <w:p w14:paraId="021863BA">
            <w:pPr>
              <w:widowControl/>
              <w:spacing w:line="240" w:lineRule="auto"/>
              <w:ind w:firstLine="0" w:firstLineChars="0"/>
              <w:jc w:val="center"/>
              <w:rPr>
                <w:rFonts w:cs="宋体" w:asciiTheme="minorEastAsia" w:hAnsiTheme="minorEastAsia"/>
                <w:color w:val="auto"/>
                <w:kern w:val="0"/>
                <w:highlight w:val="none"/>
              </w:rPr>
            </w:pPr>
          </w:p>
        </w:tc>
      </w:tr>
      <w:tr w14:paraId="2F15783C">
        <w:tblPrEx>
          <w:tblCellMar>
            <w:top w:w="0" w:type="dxa"/>
            <w:left w:w="108" w:type="dxa"/>
            <w:bottom w:w="0" w:type="dxa"/>
            <w:right w:w="108" w:type="dxa"/>
          </w:tblCellMar>
        </w:tblPrEx>
        <w:trPr>
          <w:trHeight w:val="552" w:hRule="atLeast"/>
        </w:trPr>
        <w:tc>
          <w:tcPr>
            <w:tcW w:w="883" w:type="dxa"/>
            <w:vMerge w:val="continue"/>
            <w:tcBorders>
              <w:left w:val="single" w:color="auto" w:sz="4" w:space="0"/>
              <w:right w:val="single" w:color="auto" w:sz="4" w:space="0"/>
            </w:tcBorders>
            <w:vAlign w:val="center"/>
          </w:tcPr>
          <w:p w14:paraId="6A19DD5D">
            <w:pPr>
              <w:widowControl/>
              <w:spacing w:line="240" w:lineRule="auto"/>
              <w:ind w:firstLine="0" w:firstLineChars="0"/>
              <w:jc w:val="left"/>
              <w:rPr>
                <w:rFonts w:cs="宋体" w:asciiTheme="minorEastAsia" w:hAnsiTheme="minorEastAsia"/>
                <w:color w:val="auto"/>
                <w:kern w:val="0"/>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4A3E62A6">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永安东路南侧</w:t>
            </w:r>
          </w:p>
        </w:tc>
        <w:tc>
          <w:tcPr>
            <w:tcW w:w="1767" w:type="dxa"/>
            <w:tcBorders>
              <w:top w:val="single" w:color="auto" w:sz="4" w:space="0"/>
              <w:left w:val="nil"/>
              <w:bottom w:val="single" w:color="auto" w:sz="4" w:space="0"/>
              <w:right w:val="single" w:color="auto" w:sz="4" w:space="0"/>
            </w:tcBorders>
            <w:shd w:val="clear" w:color="auto" w:fill="auto"/>
            <w:vAlign w:val="center"/>
          </w:tcPr>
          <w:p w14:paraId="5EB4089B">
            <w:pPr>
              <w:widowControl/>
              <w:spacing w:line="240" w:lineRule="auto"/>
              <w:ind w:firstLine="0" w:firstLineChars="0"/>
              <w:rPr>
                <w:rFonts w:hint="eastAsia" w:eastAsia="宋体" w:cs="宋体" w:asciiTheme="minorEastAsia" w:hAnsiTheme="minorEastAsia"/>
                <w:color w:val="auto"/>
                <w:kern w:val="0"/>
                <w:highlight w:val="none"/>
                <w:lang w:val="en-US" w:eastAsia="zh-CN"/>
              </w:rPr>
            </w:pPr>
            <w:r>
              <w:rPr>
                <w:rFonts w:hint="eastAsia" w:cs="宋体" w:asciiTheme="minorEastAsia" w:hAnsiTheme="minorEastAsia"/>
                <w:color w:val="auto"/>
                <w:kern w:val="0"/>
                <w:highlight w:val="none"/>
              </w:rPr>
              <w:t>0.5471</w:t>
            </w:r>
            <w:r>
              <w:rPr>
                <w:rFonts w:hint="eastAsia" w:cs="宋体" w:asciiTheme="minorEastAsia" w:hAnsiTheme="minorEastAsia"/>
                <w:color w:val="auto"/>
                <w:kern w:val="0"/>
                <w:highlight w:val="none"/>
                <w:lang w:val="en-US" w:eastAsia="zh-CN"/>
              </w:rPr>
              <w:t>4</w:t>
            </w:r>
          </w:p>
        </w:tc>
        <w:tc>
          <w:tcPr>
            <w:tcW w:w="1085" w:type="dxa"/>
            <w:tcBorders>
              <w:top w:val="single" w:color="auto" w:sz="4" w:space="0"/>
              <w:left w:val="nil"/>
              <w:bottom w:val="single" w:color="auto" w:sz="4" w:space="0"/>
              <w:right w:val="single" w:color="auto" w:sz="4" w:space="0"/>
            </w:tcBorders>
            <w:shd w:val="clear" w:color="auto" w:fill="auto"/>
            <w:vAlign w:val="center"/>
          </w:tcPr>
          <w:p w14:paraId="2DD9B985">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2.94</w:t>
            </w:r>
          </w:p>
        </w:tc>
        <w:tc>
          <w:tcPr>
            <w:tcW w:w="1792" w:type="dxa"/>
            <w:tcBorders>
              <w:top w:val="single" w:color="auto" w:sz="4" w:space="0"/>
              <w:left w:val="nil"/>
              <w:bottom w:val="single" w:color="auto" w:sz="4" w:space="0"/>
              <w:right w:val="single" w:color="auto" w:sz="4" w:space="0"/>
            </w:tcBorders>
            <w:shd w:val="clear" w:color="auto" w:fill="auto"/>
            <w:vAlign w:val="center"/>
          </w:tcPr>
          <w:p w14:paraId="3A44C3E1">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0.7</w:t>
            </w:r>
            <w:r>
              <w:rPr>
                <w:rFonts w:cs="宋体" w:asciiTheme="minorEastAsia" w:hAnsiTheme="minorEastAsia"/>
                <w:color w:val="auto"/>
                <w:kern w:val="0"/>
                <w:highlight w:val="none"/>
              </w:rPr>
              <w:t>4172</w:t>
            </w:r>
          </w:p>
        </w:tc>
        <w:tc>
          <w:tcPr>
            <w:tcW w:w="1491" w:type="dxa"/>
            <w:tcBorders>
              <w:top w:val="single" w:color="auto" w:sz="4" w:space="0"/>
              <w:left w:val="nil"/>
              <w:bottom w:val="single" w:color="auto" w:sz="4" w:space="0"/>
              <w:right w:val="single" w:color="auto" w:sz="4" w:space="0"/>
            </w:tcBorders>
            <w:shd w:val="clear" w:color="auto" w:fill="auto"/>
            <w:vAlign w:val="center"/>
          </w:tcPr>
          <w:p w14:paraId="2D40366B">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800</w:t>
            </w:r>
          </w:p>
        </w:tc>
        <w:tc>
          <w:tcPr>
            <w:tcW w:w="2054" w:type="dxa"/>
            <w:gridSpan w:val="2"/>
            <w:tcBorders>
              <w:top w:val="single" w:color="auto" w:sz="4" w:space="0"/>
              <w:left w:val="nil"/>
              <w:bottom w:val="single" w:color="auto" w:sz="4" w:space="0"/>
              <w:right w:val="single" w:color="auto" w:sz="4" w:space="0"/>
            </w:tcBorders>
            <w:shd w:val="clear" w:color="auto" w:fill="auto"/>
            <w:vAlign w:val="center"/>
          </w:tcPr>
          <w:p w14:paraId="28C8C298">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20‰</w:t>
            </w:r>
          </w:p>
        </w:tc>
        <w:tc>
          <w:tcPr>
            <w:tcW w:w="1391" w:type="dxa"/>
            <w:tcBorders>
              <w:top w:val="single" w:color="auto" w:sz="4" w:space="0"/>
              <w:left w:val="nil"/>
              <w:bottom w:val="single" w:color="auto" w:sz="4" w:space="0"/>
              <w:right w:val="single" w:color="auto" w:sz="4" w:space="0"/>
            </w:tcBorders>
            <w:shd w:val="clear" w:color="auto" w:fill="auto"/>
            <w:vAlign w:val="center"/>
          </w:tcPr>
          <w:p w14:paraId="270EA9A2">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3.72</w:t>
            </w:r>
          </w:p>
        </w:tc>
        <w:tc>
          <w:tcPr>
            <w:tcW w:w="1536" w:type="dxa"/>
            <w:gridSpan w:val="2"/>
            <w:tcBorders>
              <w:top w:val="single" w:color="auto" w:sz="4" w:space="0"/>
              <w:left w:val="nil"/>
              <w:bottom w:val="single" w:color="auto" w:sz="4" w:space="0"/>
              <w:right w:val="single" w:color="auto" w:sz="4" w:space="0"/>
            </w:tcBorders>
            <w:shd w:val="clear" w:color="auto" w:fill="auto"/>
            <w:vAlign w:val="center"/>
          </w:tcPr>
          <w:p w14:paraId="30E801B6">
            <w:pPr>
              <w:widowControl/>
              <w:spacing w:line="240" w:lineRule="auto"/>
              <w:ind w:firstLine="0" w:firstLineChars="0"/>
              <w:jc w:val="center"/>
              <w:rPr>
                <w:rFonts w:cs="宋体" w:asciiTheme="minorEastAsia" w:hAnsiTheme="minorEastAsia"/>
                <w:color w:val="auto"/>
                <w:kern w:val="0"/>
                <w:highlight w:val="none"/>
              </w:rPr>
            </w:pPr>
            <w:r>
              <w:rPr>
                <w:rFonts w:cs="宋体" w:asciiTheme="minorEastAsia" w:hAnsiTheme="minorEastAsia"/>
                <w:color w:val="auto"/>
                <w:kern w:val="0"/>
                <w:highlight w:val="none"/>
              </w:rPr>
              <w:t>299</w:t>
            </w:r>
          </w:p>
        </w:tc>
        <w:tc>
          <w:tcPr>
            <w:tcW w:w="1873" w:type="dxa"/>
            <w:tcBorders>
              <w:top w:val="single" w:color="auto" w:sz="4" w:space="0"/>
              <w:left w:val="nil"/>
              <w:bottom w:val="single" w:color="auto" w:sz="4" w:space="0"/>
              <w:right w:val="single" w:color="auto" w:sz="4" w:space="0"/>
            </w:tcBorders>
            <w:shd w:val="clear" w:color="auto" w:fill="auto"/>
            <w:vAlign w:val="center"/>
          </w:tcPr>
          <w:p w14:paraId="2BC35CB1">
            <w:pPr>
              <w:widowControl/>
              <w:spacing w:line="240" w:lineRule="auto"/>
              <w:ind w:firstLine="0" w:firstLineChars="0"/>
              <w:jc w:val="center"/>
              <w:rPr>
                <w:rFonts w:cs="宋体" w:asciiTheme="minorEastAsia" w:hAnsiTheme="minorEastAsia"/>
                <w:color w:val="auto"/>
                <w:kern w:val="0"/>
                <w:highlight w:val="none"/>
              </w:rPr>
            </w:pPr>
            <w:r>
              <w:rPr>
                <w:rFonts w:hint="eastAsia"/>
                <w:color w:val="auto"/>
                <w:sz w:val="21"/>
                <w:szCs w:val="21"/>
                <w:highlight w:val="none"/>
              </w:rPr>
              <w:t>Ⅱ级钢筋砼管</w:t>
            </w:r>
          </w:p>
        </w:tc>
        <w:tc>
          <w:tcPr>
            <w:tcW w:w="1491" w:type="dxa"/>
            <w:tcBorders>
              <w:top w:val="single" w:color="auto" w:sz="4" w:space="0"/>
              <w:left w:val="nil"/>
              <w:bottom w:val="single" w:color="auto" w:sz="4" w:space="0"/>
              <w:right w:val="single" w:color="auto" w:sz="4" w:space="0"/>
            </w:tcBorders>
            <w:shd w:val="clear" w:color="auto" w:fill="auto"/>
            <w:vAlign w:val="center"/>
          </w:tcPr>
          <w:p w14:paraId="41B385D7">
            <w:pPr>
              <w:widowControl/>
              <w:spacing w:line="240" w:lineRule="auto"/>
              <w:ind w:firstLine="0" w:firstLineChars="0"/>
              <w:jc w:val="center"/>
              <w:rPr>
                <w:rFonts w:cs="宋体" w:asciiTheme="minorEastAsia" w:hAnsiTheme="minorEastAsia"/>
                <w:color w:val="auto"/>
                <w:kern w:val="0"/>
                <w:highlight w:val="none"/>
              </w:rPr>
            </w:pPr>
            <w:r>
              <w:rPr>
                <w:rFonts w:hint="eastAsia" w:cs="宋体" w:asciiTheme="minorEastAsia" w:hAnsiTheme="minorEastAsia"/>
                <w:color w:val="auto"/>
                <w:kern w:val="0"/>
                <w:highlight w:val="none"/>
              </w:rPr>
              <w:t>1000</w:t>
            </w:r>
          </w:p>
        </w:tc>
        <w:tc>
          <w:tcPr>
            <w:tcW w:w="1173" w:type="dxa"/>
            <w:tcBorders>
              <w:top w:val="single" w:color="auto" w:sz="4" w:space="0"/>
              <w:left w:val="nil"/>
              <w:bottom w:val="single" w:color="auto" w:sz="4" w:space="0"/>
              <w:right w:val="single" w:color="auto" w:sz="4" w:space="0"/>
            </w:tcBorders>
            <w:shd w:val="clear" w:color="auto" w:fill="auto"/>
            <w:noWrap/>
            <w:vAlign w:val="center"/>
          </w:tcPr>
          <w:p w14:paraId="0BA1D880">
            <w:pPr>
              <w:widowControl/>
              <w:spacing w:line="240" w:lineRule="auto"/>
              <w:ind w:firstLine="0" w:firstLineChars="0"/>
              <w:jc w:val="center"/>
              <w:rPr>
                <w:rFonts w:cs="宋体" w:asciiTheme="minorEastAsia" w:hAnsiTheme="minorEastAsia"/>
                <w:color w:val="auto"/>
                <w:kern w:val="0"/>
                <w:highlight w:val="none"/>
              </w:rPr>
            </w:pPr>
          </w:p>
        </w:tc>
      </w:tr>
      <w:tr w14:paraId="3D3C045D">
        <w:tblPrEx>
          <w:tblCellMar>
            <w:top w:w="0" w:type="dxa"/>
            <w:left w:w="108" w:type="dxa"/>
            <w:bottom w:w="0" w:type="dxa"/>
            <w:right w:w="108" w:type="dxa"/>
          </w:tblCellMar>
        </w:tblPrEx>
        <w:trPr>
          <w:trHeight w:val="589" w:hRule="atLeast"/>
        </w:trPr>
        <w:tc>
          <w:tcPr>
            <w:tcW w:w="883" w:type="dxa"/>
            <w:vMerge w:val="continue"/>
            <w:tcBorders>
              <w:left w:val="single" w:color="auto" w:sz="4" w:space="0"/>
              <w:bottom w:val="single" w:color="auto" w:sz="4" w:space="0"/>
              <w:right w:val="single" w:color="auto" w:sz="4" w:space="0"/>
            </w:tcBorders>
            <w:vAlign w:val="center"/>
          </w:tcPr>
          <w:p w14:paraId="33099110">
            <w:pPr>
              <w:widowControl/>
              <w:spacing w:line="240" w:lineRule="auto"/>
              <w:ind w:firstLine="0" w:firstLineChars="0"/>
              <w:jc w:val="left"/>
              <w:rPr>
                <w:rFonts w:cs="宋体" w:asciiTheme="minorEastAsia" w:hAnsiTheme="minorEastAsia"/>
                <w:color w:val="auto"/>
                <w:kern w:val="0"/>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4D0142F5">
            <w:pPr>
              <w:widowControl/>
              <w:spacing w:line="240" w:lineRule="auto"/>
              <w:ind w:firstLine="0" w:firstLineChars="0"/>
              <w:jc w:val="center"/>
              <w:rPr>
                <w:rFonts w:cs="宋体" w:asciiTheme="minorEastAsia" w:hAnsiTheme="minorEastAsia"/>
                <w:color w:val="auto"/>
                <w:kern w:val="0"/>
                <w:highlight w:val="none"/>
              </w:rPr>
            </w:pPr>
          </w:p>
        </w:tc>
        <w:tc>
          <w:tcPr>
            <w:tcW w:w="1767" w:type="dxa"/>
            <w:tcBorders>
              <w:top w:val="single" w:color="auto" w:sz="4" w:space="0"/>
              <w:left w:val="nil"/>
              <w:bottom w:val="single" w:color="auto" w:sz="4" w:space="0"/>
              <w:right w:val="single" w:color="auto" w:sz="4" w:space="0"/>
            </w:tcBorders>
            <w:shd w:val="clear" w:color="auto" w:fill="auto"/>
            <w:vAlign w:val="center"/>
          </w:tcPr>
          <w:p w14:paraId="1FCCF489">
            <w:pPr>
              <w:widowControl/>
              <w:spacing w:line="240" w:lineRule="auto"/>
              <w:ind w:firstLine="0" w:firstLineChars="0"/>
              <w:rPr>
                <w:rFonts w:cs="宋体" w:asciiTheme="minorEastAsia" w:hAnsiTheme="minorEastAsia"/>
                <w:color w:val="auto"/>
                <w:kern w:val="0"/>
                <w:highlight w:val="none"/>
              </w:rPr>
            </w:pPr>
          </w:p>
        </w:tc>
        <w:tc>
          <w:tcPr>
            <w:tcW w:w="1085" w:type="dxa"/>
            <w:tcBorders>
              <w:top w:val="single" w:color="auto" w:sz="4" w:space="0"/>
              <w:left w:val="nil"/>
              <w:bottom w:val="single" w:color="auto" w:sz="4" w:space="0"/>
              <w:right w:val="single" w:color="auto" w:sz="4" w:space="0"/>
            </w:tcBorders>
            <w:shd w:val="clear" w:color="auto" w:fill="auto"/>
            <w:vAlign w:val="center"/>
          </w:tcPr>
          <w:p w14:paraId="0D67F941">
            <w:pPr>
              <w:widowControl/>
              <w:spacing w:line="240" w:lineRule="auto"/>
              <w:ind w:firstLine="0" w:firstLineChars="0"/>
              <w:jc w:val="center"/>
              <w:rPr>
                <w:rFonts w:cs="宋体" w:asciiTheme="minorEastAsia" w:hAnsiTheme="minorEastAsia"/>
                <w:color w:val="auto"/>
                <w:kern w:val="0"/>
                <w:highlight w:val="none"/>
              </w:rPr>
            </w:pPr>
          </w:p>
        </w:tc>
        <w:tc>
          <w:tcPr>
            <w:tcW w:w="1792" w:type="dxa"/>
            <w:tcBorders>
              <w:top w:val="single" w:color="auto" w:sz="4" w:space="0"/>
              <w:left w:val="nil"/>
              <w:bottom w:val="single" w:color="auto" w:sz="4" w:space="0"/>
              <w:right w:val="single" w:color="auto" w:sz="4" w:space="0"/>
            </w:tcBorders>
            <w:shd w:val="clear" w:color="auto" w:fill="auto"/>
            <w:vAlign w:val="center"/>
          </w:tcPr>
          <w:p w14:paraId="5B91A4DB">
            <w:pPr>
              <w:widowControl/>
              <w:spacing w:line="240" w:lineRule="auto"/>
              <w:ind w:firstLine="0" w:firstLineChars="0"/>
              <w:jc w:val="center"/>
              <w:rPr>
                <w:rFonts w:cs="宋体" w:asciiTheme="minorEastAsia" w:hAnsiTheme="minorEastAsia"/>
                <w:color w:val="auto"/>
                <w:kern w:val="0"/>
                <w:highlight w:val="none"/>
              </w:rPr>
            </w:pPr>
          </w:p>
        </w:tc>
        <w:tc>
          <w:tcPr>
            <w:tcW w:w="1491" w:type="dxa"/>
            <w:tcBorders>
              <w:top w:val="single" w:color="auto" w:sz="4" w:space="0"/>
              <w:left w:val="nil"/>
              <w:bottom w:val="single" w:color="auto" w:sz="4" w:space="0"/>
              <w:right w:val="single" w:color="auto" w:sz="4" w:space="0"/>
            </w:tcBorders>
            <w:shd w:val="clear" w:color="auto" w:fill="auto"/>
            <w:vAlign w:val="center"/>
          </w:tcPr>
          <w:p w14:paraId="66A07E5D">
            <w:pPr>
              <w:widowControl/>
              <w:spacing w:line="240" w:lineRule="auto"/>
              <w:ind w:firstLine="0" w:firstLineChars="0"/>
              <w:jc w:val="center"/>
              <w:rPr>
                <w:rFonts w:cs="宋体" w:asciiTheme="minorEastAsia" w:hAnsiTheme="minorEastAsia"/>
                <w:color w:val="auto"/>
                <w:kern w:val="0"/>
                <w:highlight w:val="none"/>
              </w:rPr>
            </w:pPr>
          </w:p>
        </w:tc>
        <w:tc>
          <w:tcPr>
            <w:tcW w:w="2054" w:type="dxa"/>
            <w:gridSpan w:val="2"/>
            <w:tcBorders>
              <w:top w:val="single" w:color="auto" w:sz="4" w:space="0"/>
              <w:left w:val="nil"/>
              <w:bottom w:val="single" w:color="auto" w:sz="4" w:space="0"/>
              <w:right w:val="single" w:color="auto" w:sz="4" w:space="0"/>
            </w:tcBorders>
            <w:shd w:val="clear" w:color="auto" w:fill="auto"/>
            <w:vAlign w:val="center"/>
          </w:tcPr>
          <w:p w14:paraId="067DE33A">
            <w:pPr>
              <w:widowControl/>
              <w:spacing w:line="240" w:lineRule="auto"/>
              <w:ind w:firstLine="0" w:firstLineChars="0"/>
              <w:jc w:val="center"/>
              <w:rPr>
                <w:rFonts w:cs="宋体" w:asciiTheme="minorEastAsia" w:hAnsiTheme="minorEastAsia"/>
                <w:color w:val="auto"/>
                <w:kern w:val="0"/>
                <w:highlight w:val="none"/>
              </w:rPr>
            </w:pPr>
          </w:p>
        </w:tc>
        <w:tc>
          <w:tcPr>
            <w:tcW w:w="1391" w:type="dxa"/>
            <w:tcBorders>
              <w:top w:val="single" w:color="auto" w:sz="4" w:space="0"/>
              <w:left w:val="nil"/>
              <w:bottom w:val="single" w:color="auto" w:sz="4" w:space="0"/>
              <w:right w:val="single" w:color="auto" w:sz="4" w:space="0"/>
            </w:tcBorders>
            <w:shd w:val="clear" w:color="auto" w:fill="auto"/>
            <w:vAlign w:val="center"/>
          </w:tcPr>
          <w:p w14:paraId="335E2402">
            <w:pPr>
              <w:widowControl/>
              <w:spacing w:line="240" w:lineRule="auto"/>
              <w:ind w:firstLine="0" w:firstLineChars="0"/>
              <w:jc w:val="center"/>
              <w:rPr>
                <w:rFonts w:cs="宋体" w:asciiTheme="minorEastAsia" w:hAnsiTheme="minorEastAsia"/>
                <w:color w:val="auto"/>
                <w:kern w:val="0"/>
                <w:highlight w:val="none"/>
              </w:rPr>
            </w:pPr>
          </w:p>
        </w:tc>
        <w:tc>
          <w:tcPr>
            <w:tcW w:w="1536" w:type="dxa"/>
            <w:gridSpan w:val="2"/>
            <w:tcBorders>
              <w:top w:val="single" w:color="auto" w:sz="4" w:space="0"/>
              <w:left w:val="nil"/>
              <w:bottom w:val="single" w:color="auto" w:sz="4" w:space="0"/>
              <w:right w:val="single" w:color="auto" w:sz="4" w:space="0"/>
            </w:tcBorders>
            <w:shd w:val="clear" w:color="auto" w:fill="auto"/>
            <w:vAlign w:val="center"/>
          </w:tcPr>
          <w:p w14:paraId="6D3AD9CB">
            <w:pPr>
              <w:widowControl/>
              <w:spacing w:line="240" w:lineRule="auto"/>
              <w:ind w:firstLine="0" w:firstLineChars="0"/>
              <w:jc w:val="center"/>
              <w:rPr>
                <w:rFonts w:cs="宋体" w:asciiTheme="minorEastAsia" w:hAnsiTheme="minorEastAsia"/>
                <w:color w:val="auto"/>
                <w:kern w:val="0"/>
                <w:highlight w:val="none"/>
              </w:rPr>
            </w:pPr>
          </w:p>
        </w:tc>
        <w:tc>
          <w:tcPr>
            <w:tcW w:w="1873" w:type="dxa"/>
            <w:tcBorders>
              <w:top w:val="single" w:color="auto" w:sz="4" w:space="0"/>
              <w:left w:val="nil"/>
              <w:bottom w:val="single" w:color="auto" w:sz="4" w:space="0"/>
              <w:right w:val="single" w:color="auto" w:sz="4" w:space="0"/>
            </w:tcBorders>
            <w:shd w:val="clear" w:color="auto" w:fill="auto"/>
            <w:vAlign w:val="center"/>
          </w:tcPr>
          <w:p w14:paraId="05CA80F0">
            <w:pPr>
              <w:widowControl/>
              <w:spacing w:line="240" w:lineRule="auto"/>
              <w:ind w:firstLine="0" w:firstLineChars="0"/>
              <w:jc w:val="center"/>
              <w:rPr>
                <w:rFonts w:cs="宋体" w:asciiTheme="minorEastAsia" w:hAnsiTheme="minorEastAsia"/>
                <w:color w:val="auto"/>
                <w:kern w:val="0"/>
                <w:highlight w:val="none"/>
              </w:rPr>
            </w:pPr>
          </w:p>
        </w:tc>
        <w:tc>
          <w:tcPr>
            <w:tcW w:w="1491" w:type="dxa"/>
            <w:tcBorders>
              <w:top w:val="single" w:color="auto" w:sz="4" w:space="0"/>
              <w:left w:val="nil"/>
              <w:bottom w:val="single" w:color="auto" w:sz="4" w:space="0"/>
              <w:right w:val="single" w:color="auto" w:sz="4" w:space="0"/>
            </w:tcBorders>
            <w:shd w:val="clear" w:color="auto" w:fill="auto"/>
            <w:vAlign w:val="center"/>
          </w:tcPr>
          <w:p w14:paraId="564C2F1B">
            <w:pPr>
              <w:widowControl/>
              <w:spacing w:line="240" w:lineRule="auto"/>
              <w:ind w:firstLine="0" w:firstLineChars="0"/>
              <w:jc w:val="center"/>
              <w:rPr>
                <w:rFonts w:cs="宋体" w:asciiTheme="minorEastAsia" w:hAnsiTheme="minorEastAsia"/>
                <w:color w:val="auto"/>
                <w:kern w:val="0"/>
                <w:highlight w:val="none"/>
              </w:rPr>
            </w:pPr>
          </w:p>
        </w:tc>
        <w:tc>
          <w:tcPr>
            <w:tcW w:w="1173" w:type="dxa"/>
            <w:tcBorders>
              <w:top w:val="single" w:color="auto" w:sz="4" w:space="0"/>
              <w:left w:val="nil"/>
              <w:bottom w:val="single" w:color="auto" w:sz="4" w:space="0"/>
              <w:right w:val="single" w:color="auto" w:sz="4" w:space="0"/>
            </w:tcBorders>
            <w:shd w:val="clear" w:color="auto" w:fill="auto"/>
            <w:noWrap/>
            <w:vAlign w:val="center"/>
          </w:tcPr>
          <w:p w14:paraId="1317110F">
            <w:pPr>
              <w:widowControl/>
              <w:spacing w:line="240" w:lineRule="auto"/>
              <w:ind w:firstLine="0" w:firstLineChars="0"/>
              <w:jc w:val="center"/>
              <w:rPr>
                <w:rFonts w:cs="宋体" w:asciiTheme="minorEastAsia" w:hAnsiTheme="minorEastAsia"/>
                <w:color w:val="auto"/>
                <w:kern w:val="0"/>
                <w:highlight w:val="none"/>
              </w:rPr>
            </w:pPr>
          </w:p>
        </w:tc>
      </w:tr>
    </w:tbl>
    <w:p w14:paraId="481A877E">
      <w:pPr>
        <w:rPr>
          <w:color w:val="auto"/>
          <w:highlight w:val="none"/>
        </w:rPr>
      </w:pPr>
    </w:p>
    <w:p w14:paraId="6A24F88D">
      <w:pPr>
        <w:rPr>
          <w:color w:val="auto"/>
          <w:highlight w:val="none"/>
        </w:rPr>
      </w:pPr>
    </w:p>
    <w:p w14:paraId="794215D7">
      <w:pPr>
        <w:rPr>
          <w:color w:val="auto"/>
          <w:highlight w:val="none"/>
        </w:rPr>
      </w:pPr>
    </w:p>
    <w:p w14:paraId="40A43239">
      <w:pPr>
        <w:rPr>
          <w:color w:val="auto"/>
          <w:highlight w:val="none"/>
        </w:rPr>
      </w:pPr>
    </w:p>
    <w:p w14:paraId="13102BB7">
      <w:pPr>
        <w:rPr>
          <w:color w:val="auto"/>
          <w:highlight w:val="none"/>
        </w:rPr>
      </w:pPr>
    </w:p>
    <w:p w14:paraId="7AD34058">
      <w:pPr>
        <w:rPr>
          <w:color w:val="auto"/>
          <w:highlight w:val="none"/>
        </w:rPr>
      </w:pPr>
    </w:p>
    <w:p w14:paraId="428B3BAB">
      <w:pPr>
        <w:rPr>
          <w:color w:val="auto"/>
          <w:highlight w:val="none"/>
        </w:rPr>
      </w:pPr>
    </w:p>
    <w:p w14:paraId="01503581">
      <w:pPr>
        <w:rPr>
          <w:color w:val="auto"/>
          <w:highlight w:val="none"/>
        </w:rPr>
      </w:pPr>
    </w:p>
    <w:p w14:paraId="15545825">
      <w:pPr>
        <w:rPr>
          <w:color w:val="auto"/>
          <w:highlight w:val="none"/>
        </w:rPr>
      </w:pPr>
    </w:p>
    <w:p w14:paraId="42A338F8">
      <w:pPr>
        <w:rPr>
          <w:color w:val="auto"/>
          <w:highlight w:val="none"/>
        </w:rPr>
      </w:pPr>
    </w:p>
    <w:p w14:paraId="02AC0CBF">
      <w:pPr>
        <w:rPr>
          <w:color w:val="auto"/>
          <w:highlight w:val="none"/>
        </w:rPr>
      </w:pPr>
    </w:p>
    <w:p w14:paraId="388797BD">
      <w:pPr>
        <w:rPr>
          <w:color w:val="auto"/>
          <w:highlight w:val="none"/>
        </w:rPr>
      </w:pPr>
    </w:p>
    <w:p w14:paraId="1AB3ED78">
      <w:pPr>
        <w:rPr>
          <w:color w:val="auto"/>
          <w:highlight w:val="none"/>
        </w:rPr>
      </w:pPr>
    </w:p>
    <w:p w14:paraId="63B9B50E">
      <w:pPr>
        <w:rPr>
          <w:color w:val="auto"/>
          <w:highlight w:val="none"/>
        </w:rPr>
      </w:pPr>
    </w:p>
    <w:p w14:paraId="0EC132FA">
      <w:pPr>
        <w:rPr>
          <w:color w:val="auto"/>
          <w:highlight w:val="none"/>
        </w:rPr>
      </w:pPr>
    </w:p>
    <w:p w14:paraId="582E744B">
      <w:pPr>
        <w:rPr>
          <w:color w:val="auto"/>
          <w:highlight w:val="none"/>
        </w:rPr>
      </w:pPr>
    </w:p>
    <w:p w14:paraId="4921F42D">
      <w:pPr>
        <w:rPr>
          <w:color w:val="auto"/>
          <w:highlight w:val="none"/>
        </w:rPr>
      </w:pPr>
    </w:p>
    <w:p w14:paraId="2DB79A1A">
      <w:pPr>
        <w:rPr>
          <w:color w:val="auto"/>
          <w:highlight w:val="none"/>
        </w:rPr>
      </w:pPr>
    </w:p>
    <w:p w14:paraId="29F2A3ED">
      <w:pPr>
        <w:rPr>
          <w:color w:val="auto"/>
          <w:highlight w:val="none"/>
        </w:rPr>
      </w:pPr>
    </w:p>
    <w:p w14:paraId="1A6FFDFB">
      <w:pPr>
        <w:rPr>
          <w:color w:val="auto"/>
          <w:highlight w:val="none"/>
        </w:rPr>
      </w:pPr>
    </w:p>
    <w:p w14:paraId="742F46FD">
      <w:pPr>
        <w:rPr>
          <w:color w:val="auto"/>
          <w:highlight w:val="none"/>
        </w:rPr>
      </w:pPr>
    </w:p>
    <w:p w14:paraId="20C4CEBA">
      <w:pPr>
        <w:rPr>
          <w:color w:val="auto"/>
          <w:highlight w:val="none"/>
        </w:rPr>
      </w:pPr>
    </w:p>
    <w:p w14:paraId="668FC2CE">
      <w:pPr>
        <w:rPr>
          <w:color w:val="auto"/>
          <w:highlight w:val="none"/>
        </w:rPr>
      </w:pPr>
    </w:p>
    <w:p w14:paraId="50154CA8">
      <w:pPr>
        <w:rPr>
          <w:rFonts w:hint="eastAsia" w:asciiTheme="minorEastAsia" w:hAnsiTheme="minorEastAsia"/>
          <w:color w:val="auto"/>
          <w:highlight w:val="none"/>
        </w:rPr>
      </w:pPr>
    </w:p>
    <w:p w14:paraId="60294734">
      <w:pPr>
        <w:rPr>
          <w:rFonts w:hint="eastAsia" w:asciiTheme="minorEastAsia" w:hAnsiTheme="minorEastAsia"/>
          <w:color w:val="auto"/>
          <w:highlight w:val="none"/>
        </w:rPr>
      </w:pPr>
    </w:p>
    <w:p w14:paraId="44E33FE3">
      <w:pPr>
        <w:rPr>
          <w:rFonts w:hint="eastAsia" w:asciiTheme="minorEastAsia" w:hAnsiTheme="minorEastAsia"/>
          <w:color w:val="auto"/>
          <w:highlight w:val="none"/>
        </w:rPr>
      </w:pPr>
    </w:p>
    <w:p w14:paraId="3854ADA9">
      <w:pPr>
        <w:ind w:left="0" w:leftChars="0" w:firstLine="0" w:firstLineChars="0"/>
        <w:rPr>
          <w:rFonts w:asciiTheme="minorEastAsia" w:hAnsiTheme="minorEastAsia"/>
          <w:color w:val="auto"/>
          <w:highlight w:val="none"/>
        </w:rPr>
      </w:pPr>
    </w:p>
    <w:sectPr>
      <w:headerReference r:id="rId7" w:type="default"/>
      <w:footerReference r:id="rId8" w:type="default"/>
      <w:pgSz w:w="23811" w:h="16838" w:orient="landscape"/>
      <w:pgMar w:top="1083" w:right="758" w:bottom="1417" w:left="1200" w:header="851" w:footer="850" w:gutter="0"/>
      <w:pgNumType w:fmt="decimal"/>
      <w:cols w:equalWidth="0" w:num="2">
        <w:col w:w="10714" w:space="425"/>
        <w:col w:w="10714"/>
      </w:cols>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ED2E7">
    <w:pPr>
      <w:pStyle w:val="14"/>
      <w:ind w:firstLine="480"/>
      <w:jc w:val="both"/>
      <w:rPr>
        <w:rFonts w:eastAsiaTheme="minorEastAsia"/>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CF8B6D">
                          <w:pPr>
                            <w:pStyle w:val="1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8</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64CF8B6D">
                    <w:pPr>
                      <w:pStyle w:val="1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8</w:t>
                    </w:r>
                    <w:r>
                      <w:t>页</w:t>
                    </w:r>
                  </w:p>
                </w:txbxContent>
              </v:textbox>
            </v:shape>
          </w:pict>
        </mc:Fallback>
      </mc:AlternateContent>
    </w:r>
    <w:r>
      <w:rPr>
        <w:rFonts w:hint="eastAsia"/>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CAE0F">
    <w:pPr>
      <w:spacing w:line="14" w:lineRule="auto"/>
      <w:ind w:firstLine="480"/>
      <w:rPr>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473165">
                          <w:pPr>
                            <w:pStyle w:val="14"/>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20473165">
                    <w:pPr>
                      <w:pStyle w:val="14"/>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480"/>
      </w:pPr>
      <w:r>
        <w:separator/>
      </w:r>
    </w:p>
  </w:footnote>
  <w:footnote w:type="continuationSeparator" w:id="1">
    <w:p>
      <w:pPr>
        <w:spacing w:line="312"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A3E1D">
    <w:pPr>
      <w:pStyle w:val="15"/>
      <w:ind w:left="0" w:leftChars="0" w:firstLine="0" w:firstLineChars="0"/>
      <w:jc w:val="both"/>
    </w:pPr>
    <w:r>
      <w:rPr>
        <w:rFonts w:hint="eastAsia" w:ascii="宋体" w:hAnsi="宋体"/>
        <w:bCs/>
        <w:sz w:val="21"/>
        <w:szCs w:val="21"/>
        <w:lang w:eastAsia="zh-CN"/>
      </w:rPr>
      <w:t>广州空港经济区拆迁安置区（花东安置区）教育配套设施建设项目</w:t>
    </w:r>
    <w:r>
      <w:rPr>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35CCC">
    <w:pPr>
      <w:pStyle w:val="15"/>
      <w:ind w:firstLine="199" w:firstLineChars="95"/>
      <w:jc w:val="both"/>
      <w:rPr>
        <w:rFonts w:eastAsiaTheme="minorEastAsia"/>
      </w:rPr>
    </w:pPr>
    <w:r>
      <w:rPr>
        <w:rFonts w:hint="eastAsia" w:ascii="宋体" w:hAnsi="宋体"/>
        <w:bCs/>
        <w:sz w:val="21"/>
        <w:szCs w:val="21"/>
        <w:lang w:eastAsia="zh-CN"/>
      </w:rPr>
      <w:t>广州空港经济区拆迁安置区（花东安置区）教育配套设施建设项目</w:t>
    </w:r>
    <w:r>
      <w:rPr>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F0B3E"/>
    <w:multiLevelType w:val="multilevel"/>
    <w:tmpl w:val="155F0B3E"/>
    <w:lvl w:ilvl="0" w:tentative="0">
      <w:start w:val="6"/>
      <w:numFmt w:val="decimal"/>
      <w:lvlText w:val="%1）"/>
      <w:lvlJc w:val="left"/>
      <w:pPr>
        <w:ind w:left="470" w:hanging="360"/>
      </w:pPr>
      <w:rPr>
        <w:rFonts w:hint="default"/>
      </w:rPr>
    </w:lvl>
    <w:lvl w:ilvl="1" w:tentative="0">
      <w:start w:val="1"/>
      <w:numFmt w:val="lowerLetter"/>
      <w:lvlText w:val="%2)"/>
      <w:lvlJc w:val="left"/>
      <w:pPr>
        <w:ind w:left="950" w:hanging="420"/>
      </w:pPr>
    </w:lvl>
    <w:lvl w:ilvl="2" w:tentative="0">
      <w:start w:val="1"/>
      <w:numFmt w:val="lowerRoman"/>
      <w:lvlText w:val="%3."/>
      <w:lvlJc w:val="right"/>
      <w:pPr>
        <w:ind w:left="1370" w:hanging="420"/>
      </w:pPr>
    </w:lvl>
    <w:lvl w:ilvl="3" w:tentative="0">
      <w:start w:val="1"/>
      <w:numFmt w:val="decimal"/>
      <w:lvlText w:val="%4."/>
      <w:lvlJc w:val="left"/>
      <w:pPr>
        <w:ind w:left="1790" w:hanging="420"/>
      </w:pPr>
    </w:lvl>
    <w:lvl w:ilvl="4" w:tentative="0">
      <w:start w:val="1"/>
      <w:numFmt w:val="lowerLetter"/>
      <w:lvlText w:val="%5)"/>
      <w:lvlJc w:val="left"/>
      <w:pPr>
        <w:ind w:left="2210" w:hanging="420"/>
      </w:pPr>
    </w:lvl>
    <w:lvl w:ilvl="5" w:tentative="0">
      <w:start w:val="1"/>
      <w:numFmt w:val="lowerRoman"/>
      <w:lvlText w:val="%6."/>
      <w:lvlJc w:val="right"/>
      <w:pPr>
        <w:ind w:left="2630" w:hanging="420"/>
      </w:pPr>
    </w:lvl>
    <w:lvl w:ilvl="6" w:tentative="0">
      <w:start w:val="1"/>
      <w:numFmt w:val="decimal"/>
      <w:lvlText w:val="%7."/>
      <w:lvlJc w:val="left"/>
      <w:pPr>
        <w:ind w:left="3050" w:hanging="420"/>
      </w:pPr>
    </w:lvl>
    <w:lvl w:ilvl="7" w:tentative="0">
      <w:start w:val="1"/>
      <w:numFmt w:val="lowerLetter"/>
      <w:lvlText w:val="%8)"/>
      <w:lvlJc w:val="left"/>
      <w:pPr>
        <w:ind w:left="3470" w:hanging="420"/>
      </w:pPr>
    </w:lvl>
    <w:lvl w:ilvl="8" w:tentative="0">
      <w:start w:val="1"/>
      <w:numFmt w:val="lowerRoman"/>
      <w:lvlText w:val="%9."/>
      <w:lvlJc w:val="right"/>
      <w:pPr>
        <w:ind w:left="3890" w:hanging="420"/>
      </w:pPr>
    </w:lvl>
  </w:abstractNum>
  <w:abstractNum w:abstractNumId="1">
    <w:nsid w:val="17722094"/>
    <w:multiLevelType w:val="multilevel"/>
    <w:tmpl w:val="17722094"/>
    <w:lvl w:ilvl="0" w:tentative="0">
      <w:start w:val="1"/>
      <w:numFmt w:val="decimal"/>
      <w:pStyle w:val="2"/>
      <w:suff w:val="nothing"/>
      <w:lvlText w:val="%1 "/>
      <w:lvlJc w:val="left"/>
      <w:pPr>
        <w:ind w:left="0" w:firstLine="0"/>
      </w:pPr>
      <w:rPr>
        <w:rFonts w:hint="eastAsia" w:ascii="宋体" w:hAnsi="黑体" w:eastAsia="宋体"/>
      </w:rPr>
    </w:lvl>
    <w:lvl w:ilvl="1" w:tentative="0">
      <w:start w:val="1"/>
      <w:numFmt w:val="decimal"/>
      <w:pStyle w:val="3"/>
      <w:isLgl/>
      <w:suff w:val="space"/>
      <w:lvlText w:val="%1.%2."/>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pStyle w:val="4"/>
      <w:isLgl/>
      <w:suff w:val="space"/>
      <w:lvlText w:val="%1.%2.%3."/>
      <w:lvlJc w:val="left"/>
      <w:pPr>
        <w:ind w:left="0" w:firstLine="0"/>
      </w:pPr>
      <w:rPr>
        <w:rFonts w:hint="eastAsia" w:ascii="宋体" w:hAnsi="黑体" w:eastAsia="宋体"/>
        <w:b/>
        <w:i w:val="0"/>
        <w:sz w:val="28"/>
        <w:szCs w:val="28"/>
      </w:rPr>
    </w:lvl>
    <w:lvl w:ilvl="3" w:tentative="0">
      <w:start w:val="1"/>
      <w:numFmt w:val="decimal"/>
      <w:pStyle w:val="5"/>
      <w:isLgl/>
      <w:suff w:val="space"/>
      <w:lvlText w:val="%1.%2.%3.%4."/>
      <w:lvlJc w:val="left"/>
      <w:pPr>
        <w:ind w:left="850" w:hanging="850"/>
      </w:pPr>
      <w:rPr>
        <w:rFonts w:hint="eastAsia"/>
        <w:b/>
        <w:i w:val="0"/>
      </w:rPr>
    </w:lvl>
    <w:lvl w:ilvl="4" w:tentative="0">
      <w:start w:val="1"/>
      <w:numFmt w:val="decimal"/>
      <w:isLgl/>
      <w:lvlText w:val="%1.%2.%3.%4.%5."/>
      <w:lvlJc w:val="left"/>
      <w:pPr>
        <w:ind w:left="991" w:hanging="991"/>
      </w:pPr>
      <w:rPr>
        <w:rFonts w:hint="eastAsia"/>
      </w:rPr>
    </w:lvl>
    <w:lvl w:ilvl="5" w:tentative="0">
      <w:start w:val="1"/>
      <w:numFmt w:val="decimal"/>
      <w:isLgl/>
      <w:lvlText w:val="%1.%2.%3.%4.%5.%6."/>
      <w:lvlJc w:val="left"/>
      <w:pPr>
        <w:ind w:left="1134" w:hanging="1134"/>
      </w:pPr>
      <w:rPr>
        <w:rFonts w:hint="eastAsia"/>
      </w:rPr>
    </w:lvl>
    <w:lvl w:ilvl="6" w:tentative="0">
      <w:start w:val="1"/>
      <w:numFmt w:val="decimal"/>
      <w:isLgl/>
      <w:lvlText w:val="%1.%2.%3.%4.%5.%6.%7."/>
      <w:lvlJc w:val="left"/>
      <w:pPr>
        <w:ind w:left="1275" w:hanging="1275"/>
      </w:pPr>
      <w:rPr>
        <w:rFonts w:hint="eastAsia"/>
      </w:rPr>
    </w:lvl>
    <w:lvl w:ilvl="7" w:tentative="0">
      <w:start w:val="1"/>
      <w:numFmt w:val="decimal"/>
      <w:isLgl/>
      <w:lvlText w:val="%1.%2.%3.%4.%5.%6.%7.%8."/>
      <w:lvlJc w:val="left"/>
      <w:pPr>
        <w:ind w:left="1418" w:hanging="1418"/>
      </w:pPr>
      <w:rPr>
        <w:rFonts w:hint="eastAsia"/>
      </w:rPr>
    </w:lvl>
    <w:lvl w:ilvl="8" w:tentative="0">
      <w:start w:val="1"/>
      <w:numFmt w:val="decimal"/>
      <w:isLgl/>
      <w:lvlText w:val="%1.%2.%3.%4.%5.%6.%7.%8.%9."/>
      <w:lvlJc w:val="left"/>
      <w:pPr>
        <w:ind w:left="1558" w:hanging="1558"/>
      </w:pPr>
      <w:rPr>
        <w:rFonts w:hint="eastAsia"/>
      </w:rPr>
    </w:lvl>
  </w:abstractNum>
  <w:abstractNum w:abstractNumId="2">
    <w:nsid w:val="1849FD1D"/>
    <w:multiLevelType w:val="singleLevel"/>
    <w:tmpl w:val="1849FD1D"/>
    <w:lvl w:ilvl="0" w:tentative="0">
      <w:start w:val="6"/>
      <w:numFmt w:val="decimal"/>
      <w:suff w:val="nothing"/>
      <w:lvlText w:val="%1、"/>
      <w:lvlJc w:val="left"/>
    </w:lvl>
  </w:abstractNum>
  <w:abstractNum w:abstractNumId="3">
    <w:nsid w:val="4B824189"/>
    <w:multiLevelType w:val="singleLevel"/>
    <w:tmpl w:val="4B824189"/>
    <w:lvl w:ilvl="0" w:tentative="0">
      <w:start w:val="5"/>
      <w:numFmt w:val="decimal"/>
      <w:suff w:val="nothing"/>
      <w:lvlText w:val="%1）"/>
      <w:lvlJc w:val="left"/>
    </w:lvl>
  </w:abstractNum>
  <w:abstractNum w:abstractNumId="4">
    <w:nsid w:val="50307D41"/>
    <w:multiLevelType w:val="multilevel"/>
    <w:tmpl w:val="50307D41"/>
    <w:lvl w:ilvl="0" w:tentative="0">
      <w:start w:val="1"/>
      <w:numFmt w:val="decimal"/>
      <w:suff w:val="nothing"/>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76C24601"/>
    <w:multiLevelType w:val="singleLevel"/>
    <w:tmpl w:val="76C24601"/>
    <w:lvl w:ilvl="0" w:tentative="0">
      <w:start w:val="2"/>
      <w:numFmt w:val="decimal"/>
      <w:suff w:val="nothing"/>
      <w:lvlText w:val="（%1）"/>
      <w:lvlJc w:val="left"/>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803"/>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3ODBjMzU1NDU3NjVjMTY5ZjY2N2E3MjA2YjBmZTYifQ=="/>
  </w:docVars>
  <w:rsids>
    <w:rsidRoot w:val="00172A27"/>
    <w:rsid w:val="00017E71"/>
    <w:rsid w:val="00023D16"/>
    <w:rsid w:val="000536D7"/>
    <w:rsid w:val="00076ED7"/>
    <w:rsid w:val="000803C4"/>
    <w:rsid w:val="00096BC7"/>
    <w:rsid w:val="000A17C3"/>
    <w:rsid w:val="000A5645"/>
    <w:rsid w:val="000E3B05"/>
    <w:rsid w:val="00107FC5"/>
    <w:rsid w:val="001247D0"/>
    <w:rsid w:val="00132766"/>
    <w:rsid w:val="00157BDC"/>
    <w:rsid w:val="00172A27"/>
    <w:rsid w:val="00185547"/>
    <w:rsid w:val="001A17B2"/>
    <w:rsid w:val="001A44F1"/>
    <w:rsid w:val="001B1196"/>
    <w:rsid w:val="001C7125"/>
    <w:rsid w:val="001E6E88"/>
    <w:rsid w:val="00244CDC"/>
    <w:rsid w:val="00250D91"/>
    <w:rsid w:val="00264868"/>
    <w:rsid w:val="00270971"/>
    <w:rsid w:val="00283A0A"/>
    <w:rsid w:val="00285565"/>
    <w:rsid w:val="00285FB4"/>
    <w:rsid w:val="002B0CFB"/>
    <w:rsid w:val="002C055C"/>
    <w:rsid w:val="002D1A99"/>
    <w:rsid w:val="00350CEF"/>
    <w:rsid w:val="00354366"/>
    <w:rsid w:val="0036560A"/>
    <w:rsid w:val="003916C6"/>
    <w:rsid w:val="003A041A"/>
    <w:rsid w:val="003D10A0"/>
    <w:rsid w:val="003E0CEC"/>
    <w:rsid w:val="003E53FB"/>
    <w:rsid w:val="004078C9"/>
    <w:rsid w:val="004242D3"/>
    <w:rsid w:val="00433D27"/>
    <w:rsid w:val="0044132B"/>
    <w:rsid w:val="004B2C6B"/>
    <w:rsid w:val="004C169E"/>
    <w:rsid w:val="004C1F9B"/>
    <w:rsid w:val="004D6535"/>
    <w:rsid w:val="004D6F0E"/>
    <w:rsid w:val="004E6422"/>
    <w:rsid w:val="004F772E"/>
    <w:rsid w:val="00531B17"/>
    <w:rsid w:val="00566FB7"/>
    <w:rsid w:val="00571E2D"/>
    <w:rsid w:val="00582373"/>
    <w:rsid w:val="00587799"/>
    <w:rsid w:val="005B1B45"/>
    <w:rsid w:val="005C6240"/>
    <w:rsid w:val="005D2AAC"/>
    <w:rsid w:val="005D3995"/>
    <w:rsid w:val="005D78B2"/>
    <w:rsid w:val="005E396F"/>
    <w:rsid w:val="005F7ED8"/>
    <w:rsid w:val="00613F27"/>
    <w:rsid w:val="006175E2"/>
    <w:rsid w:val="00640DF8"/>
    <w:rsid w:val="006526E3"/>
    <w:rsid w:val="006638F4"/>
    <w:rsid w:val="00691715"/>
    <w:rsid w:val="00691CF0"/>
    <w:rsid w:val="006E4EA6"/>
    <w:rsid w:val="006F2EE5"/>
    <w:rsid w:val="006F5A5C"/>
    <w:rsid w:val="00723DF6"/>
    <w:rsid w:val="007242B6"/>
    <w:rsid w:val="00740012"/>
    <w:rsid w:val="0074129F"/>
    <w:rsid w:val="0075089C"/>
    <w:rsid w:val="00750B49"/>
    <w:rsid w:val="007A02BB"/>
    <w:rsid w:val="007B5D31"/>
    <w:rsid w:val="007D6DF5"/>
    <w:rsid w:val="00820F9B"/>
    <w:rsid w:val="00834609"/>
    <w:rsid w:val="00837D3D"/>
    <w:rsid w:val="008573F2"/>
    <w:rsid w:val="00864B0A"/>
    <w:rsid w:val="00883C95"/>
    <w:rsid w:val="008A179C"/>
    <w:rsid w:val="008A2444"/>
    <w:rsid w:val="008C43D4"/>
    <w:rsid w:val="008E30FA"/>
    <w:rsid w:val="008F1B12"/>
    <w:rsid w:val="00900A3A"/>
    <w:rsid w:val="0090141D"/>
    <w:rsid w:val="00911533"/>
    <w:rsid w:val="00932114"/>
    <w:rsid w:val="00932DC7"/>
    <w:rsid w:val="00936ADD"/>
    <w:rsid w:val="00941757"/>
    <w:rsid w:val="009601E6"/>
    <w:rsid w:val="009630D7"/>
    <w:rsid w:val="0098225C"/>
    <w:rsid w:val="00986016"/>
    <w:rsid w:val="00997227"/>
    <w:rsid w:val="009A5453"/>
    <w:rsid w:val="009B7946"/>
    <w:rsid w:val="009C0CA0"/>
    <w:rsid w:val="009C0CCA"/>
    <w:rsid w:val="009C2A96"/>
    <w:rsid w:val="009E0605"/>
    <w:rsid w:val="00A03C19"/>
    <w:rsid w:val="00A46B90"/>
    <w:rsid w:val="00A50E20"/>
    <w:rsid w:val="00A56413"/>
    <w:rsid w:val="00A70411"/>
    <w:rsid w:val="00A82D55"/>
    <w:rsid w:val="00A96189"/>
    <w:rsid w:val="00AC5230"/>
    <w:rsid w:val="00AD23CD"/>
    <w:rsid w:val="00AE5BB8"/>
    <w:rsid w:val="00AF19CF"/>
    <w:rsid w:val="00B1285D"/>
    <w:rsid w:val="00B12A1C"/>
    <w:rsid w:val="00B44EF3"/>
    <w:rsid w:val="00B50C42"/>
    <w:rsid w:val="00B6058D"/>
    <w:rsid w:val="00B8008B"/>
    <w:rsid w:val="00B8017A"/>
    <w:rsid w:val="00B832CA"/>
    <w:rsid w:val="00B8500B"/>
    <w:rsid w:val="00BA5E52"/>
    <w:rsid w:val="00BA6B48"/>
    <w:rsid w:val="00BC032C"/>
    <w:rsid w:val="00BE4055"/>
    <w:rsid w:val="00BE67F4"/>
    <w:rsid w:val="00BF5D5C"/>
    <w:rsid w:val="00C05928"/>
    <w:rsid w:val="00C1639A"/>
    <w:rsid w:val="00C17C25"/>
    <w:rsid w:val="00C347CB"/>
    <w:rsid w:val="00C46102"/>
    <w:rsid w:val="00C46C74"/>
    <w:rsid w:val="00C47A27"/>
    <w:rsid w:val="00C763A5"/>
    <w:rsid w:val="00C8087C"/>
    <w:rsid w:val="00C83A3F"/>
    <w:rsid w:val="00CA0F1B"/>
    <w:rsid w:val="00CD08FA"/>
    <w:rsid w:val="00D019FA"/>
    <w:rsid w:val="00D31A72"/>
    <w:rsid w:val="00D621CD"/>
    <w:rsid w:val="00DD3922"/>
    <w:rsid w:val="00DD52E8"/>
    <w:rsid w:val="00DE1816"/>
    <w:rsid w:val="00E065CF"/>
    <w:rsid w:val="00E06ACF"/>
    <w:rsid w:val="00E165A1"/>
    <w:rsid w:val="00E566DA"/>
    <w:rsid w:val="00E570AE"/>
    <w:rsid w:val="00E6561B"/>
    <w:rsid w:val="00E7583B"/>
    <w:rsid w:val="00EA5A4C"/>
    <w:rsid w:val="00EB3033"/>
    <w:rsid w:val="00EC4A01"/>
    <w:rsid w:val="00ED744A"/>
    <w:rsid w:val="00EF1C4C"/>
    <w:rsid w:val="00F27AF6"/>
    <w:rsid w:val="00F52660"/>
    <w:rsid w:val="00F56190"/>
    <w:rsid w:val="00F56F68"/>
    <w:rsid w:val="00F67FF4"/>
    <w:rsid w:val="00F72D92"/>
    <w:rsid w:val="00F77315"/>
    <w:rsid w:val="00F9303D"/>
    <w:rsid w:val="00FA2FF7"/>
    <w:rsid w:val="00FE1E51"/>
    <w:rsid w:val="00FE53F1"/>
    <w:rsid w:val="00FE754C"/>
    <w:rsid w:val="00FF4492"/>
    <w:rsid w:val="010A2CBD"/>
    <w:rsid w:val="021536C4"/>
    <w:rsid w:val="02DE42B2"/>
    <w:rsid w:val="03075580"/>
    <w:rsid w:val="03C21228"/>
    <w:rsid w:val="03FF60FC"/>
    <w:rsid w:val="041827E6"/>
    <w:rsid w:val="047A0AAA"/>
    <w:rsid w:val="049715AE"/>
    <w:rsid w:val="04AF05FB"/>
    <w:rsid w:val="04CB2624"/>
    <w:rsid w:val="04F207BE"/>
    <w:rsid w:val="052A3623"/>
    <w:rsid w:val="052B7C63"/>
    <w:rsid w:val="054B1D30"/>
    <w:rsid w:val="05752FBA"/>
    <w:rsid w:val="05E002F0"/>
    <w:rsid w:val="061951A8"/>
    <w:rsid w:val="06773423"/>
    <w:rsid w:val="06A371AB"/>
    <w:rsid w:val="070B784B"/>
    <w:rsid w:val="07D12679"/>
    <w:rsid w:val="07FA59A5"/>
    <w:rsid w:val="08373ADB"/>
    <w:rsid w:val="086246AB"/>
    <w:rsid w:val="08FF6021"/>
    <w:rsid w:val="09BB28D8"/>
    <w:rsid w:val="0A182892"/>
    <w:rsid w:val="0A46250D"/>
    <w:rsid w:val="0AD97E5A"/>
    <w:rsid w:val="0AE57394"/>
    <w:rsid w:val="0B401679"/>
    <w:rsid w:val="0BB61B74"/>
    <w:rsid w:val="0BF70FD4"/>
    <w:rsid w:val="0CAC29D8"/>
    <w:rsid w:val="0CC939C5"/>
    <w:rsid w:val="0CCF4ADA"/>
    <w:rsid w:val="0DDB165A"/>
    <w:rsid w:val="0DE11248"/>
    <w:rsid w:val="0DEA1D2A"/>
    <w:rsid w:val="0E1565D6"/>
    <w:rsid w:val="0E4C4E85"/>
    <w:rsid w:val="0E543804"/>
    <w:rsid w:val="0ED07A90"/>
    <w:rsid w:val="0F7A658E"/>
    <w:rsid w:val="0F9A49E7"/>
    <w:rsid w:val="0FC86897"/>
    <w:rsid w:val="100108D7"/>
    <w:rsid w:val="103731C9"/>
    <w:rsid w:val="106A4254"/>
    <w:rsid w:val="10B30662"/>
    <w:rsid w:val="10B870C4"/>
    <w:rsid w:val="11CC248F"/>
    <w:rsid w:val="11E74B7D"/>
    <w:rsid w:val="12087521"/>
    <w:rsid w:val="12B57C73"/>
    <w:rsid w:val="13101C7A"/>
    <w:rsid w:val="13696EBB"/>
    <w:rsid w:val="13D77479"/>
    <w:rsid w:val="148E7601"/>
    <w:rsid w:val="1498526D"/>
    <w:rsid w:val="1607444C"/>
    <w:rsid w:val="16233867"/>
    <w:rsid w:val="16316B2E"/>
    <w:rsid w:val="166916E5"/>
    <w:rsid w:val="168C766F"/>
    <w:rsid w:val="16C4194E"/>
    <w:rsid w:val="16CA5CEE"/>
    <w:rsid w:val="18A07A48"/>
    <w:rsid w:val="18C9062F"/>
    <w:rsid w:val="192F598C"/>
    <w:rsid w:val="19A01633"/>
    <w:rsid w:val="1A043387"/>
    <w:rsid w:val="1B9405AB"/>
    <w:rsid w:val="1B987C94"/>
    <w:rsid w:val="1C406274"/>
    <w:rsid w:val="1C7301C8"/>
    <w:rsid w:val="1D523031"/>
    <w:rsid w:val="1D5B27A2"/>
    <w:rsid w:val="1D880D05"/>
    <w:rsid w:val="1DBC1D08"/>
    <w:rsid w:val="1EAF6474"/>
    <w:rsid w:val="1F213C59"/>
    <w:rsid w:val="1F39508B"/>
    <w:rsid w:val="1F5F374E"/>
    <w:rsid w:val="20591CA0"/>
    <w:rsid w:val="20ED35CC"/>
    <w:rsid w:val="21211CAB"/>
    <w:rsid w:val="213B7BC4"/>
    <w:rsid w:val="21811FBC"/>
    <w:rsid w:val="21F8664C"/>
    <w:rsid w:val="21FB2095"/>
    <w:rsid w:val="221F0D24"/>
    <w:rsid w:val="221F5A08"/>
    <w:rsid w:val="223F6B6C"/>
    <w:rsid w:val="226925A1"/>
    <w:rsid w:val="228A5CE4"/>
    <w:rsid w:val="22D448CA"/>
    <w:rsid w:val="22E22A19"/>
    <w:rsid w:val="22F60801"/>
    <w:rsid w:val="22F95DE3"/>
    <w:rsid w:val="22FF31CF"/>
    <w:rsid w:val="236B5496"/>
    <w:rsid w:val="23D11411"/>
    <w:rsid w:val="249849C2"/>
    <w:rsid w:val="24AF08AE"/>
    <w:rsid w:val="24F85144"/>
    <w:rsid w:val="25040329"/>
    <w:rsid w:val="251A3299"/>
    <w:rsid w:val="251D2B57"/>
    <w:rsid w:val="253F1038"/>
    <w:rsid w:val="25417AC2"/>
    <w:rsid w:val="255E39D7"/>
    <w:rsid w:val="259D6B6C"/>
    <w:rsid w:val="26414C9A"/>
    <w:rsid w:val="2657371E"/>
    <w:rsid w:val="26867184"/>
    <w:rsid w:val="269B558B"/>
    <w:rsid w:val="26A9704D"/>
    <w:rsid w:val="27135EC0"/>
    <w:rsid w:val="277C72EA"/>
    <w:rsid w:val="27CC4736"/>
    <w:rsid w:val="27D06082"/>
    <w:rsid w:val="27DF1D24"/>
    <w:rsid w:val="28DE085B"/>
    <w:rsid w:val="28ED02AD"/>
    <w:rsid w:val="28F93C98"/>
    <w:rsid w:val="290E2278"/>
    <w:rsid w:val="2AE93114"/>
    <w:rsid w:val="2B6510FD"/>
    <w:rsid w:val="2B8807BE"/>
    <w:rsid w:val="2BDE2930"/>
    <w:rsid w:val="2BFD7A45"/>
    <w:rsid w:val="2C8B4A5C"/>
    <w:rsid w:val="2CC00A61"/>
    <w:rsid w:val="2D22001E"/>
    <w:rsid w:val="2D6B690D"/>
    <w:rsid w:val="2E8C5360"/>
    <w:rsid w:val="2EA138F3"/>
    <w:rsid w:val="2EC018BF"/>
    <w:rsid w:val="2EFF4104"/>
    <w:rsid w:val="2F441247"/>
    <w:rsid w:val="2F516328"/>
    <w:rsid w:val="2FF55502"/>
    <w:rsid w:val="30097974"/>
    <w:rsid w:val="30265CC4"/>
    <w:rsid w:val="3070443D"/>
    <w:rsid w:val="30B54A49"/>
    <w:rsid w:val="30CA3BBD"/>
    <w:rsid w:val="31046A62"/>
    <w:rsid w:val="315A0F1F"/>
    <w:rsid w:val="319B5633"/>
    <w:rsid w:val="31A94E52"/>
    <w:rsid w:val="32152F8F"/>
    <w:rsid w:val="3225746D"/>
    <w:rsid w:val="324D08CC"/>
    <w:rsid w:val="32AE6356"/>
    <w:rsid w:val="32CE31DA"/>
    <w:rsid w:val="346870F5"/>
    <w:rsid w:val="34775061"/>
    <w:rsid w:val="34B92358"/>
    <w:rsid w:val="34E92C8D"/>
    <w:rsid w:val="34F90AC0"/>
    <w:rsid w:val="35740A92"/>
    <w:rsid w:val="368E53E2"/>
    <w:rsid w:val="36A43075"/>
    <w:rsid w:val="36CE0885"/>
    <w:rsid w:val="373A2EB0"/>
    <w:rsid w:val="375C3AE3"/>
    <w:rsid w:val="38200B79"/>
    <w:rsid w:val="38AA72EC"/>
    <w:rsid w:val="38D006A0"/>
    <w:rsid w:val="39320A99"/>
    <w:rsid w:val="399079C5"/>
    <w:rsid w:val="399757D4"/>
    <w:rsid w:val="39A15331"/>
    <w:rsid w:val="39DE0368"/>
    <w:rsid w:val="3A19132B"/>
    <w:rsid w:val="3A796043"/>
    <w:rsid w:val="3A7E45D2"/>
    <w:rsid w:val="3A844376"/>
    <w:rsid w:val="3B760566"/>
    <w:rsid w:val="3BAA2A06"/>
    <w:rsid w:val="3BB07EA9"/>
    <w:rsid w:val="3BE47246"/>
    <w:rsid w:val="3BF248A8"/>
    <w:rsid w:val="3C7A543D"/>
    <w:rsid w:val="3CCE1EBF"/>
    <w:rsid w:val="3CE93852"/>
    <w:rsid w:val="3DC824ED"/>
    <w:rsid w:val="3E6350E4"/>
    <w:rsid w:val="3E7E48E4"/>
    <w:rsid w:val="3FE51C52"/>
    <w:rsid w:val="40044578"/>
    <w:rsid w:val="40281F5C"/>
    <w:rsid w:val="40385899"/>
    <w:rsid w:val="40427D6D"/>
    <w:rsid w:val="40CA651B"/>
    <w:rsid w:val="40D04D55"/>
    <w:rsid w:val="41000F65"/>
    <w:rsid w:val="41420446"/>
    <w:rsid w:val="41723C2F"/>
    <w:rsid w:val="419E5E1C"/>
    <w:rsid w:val="4230143F"/>
    <w:rsid w:val="42C931F2"/>
    <w:rsid w:val="42D8374A"/>
    <w:rsid w:val="43124115"/>
    <w:rsid w:val="43732F9B"/>
    <w:rsid w:val="44263D4E"/>
    <w:rsid w:val="44EB2277"/>
    <w:rsid w:val="44F17A62"/>
    <w:rsid w:val="44FC7482"/>
    <w:rsid w:val="45B6629C"/>
    <w:rsid w:val="45CB1293"/>
    <w:rsid w:val="46431172"/>
    <w:rsid w:val="467014E7"/>
    <w:rsid w:val="473B0065"/>
    <w:rsid w:val="480D2FD2"/>
    <w:rsid w:val="48413CA0"/>
    <w:rsid w:val="4905608D"/>
    <w:rsid w:val="492F38B2"/>
    <w:rsid w:val="49A43F2E"/>
    <w:rsid w:val="49BD6838"/>
    <w:rsid w:val="4A2445C6"/>
    <w:rsid w:val="4A6D7B2A"/>
    <w:rsid w:val="4AE01A8E"/>
    <w:rsid w:val="4B2F2B47"/>
    <w:rsid w:val="4BB96EE2"/>
    <w:rsid w:val="4BC56FCC"/>
    <w:rsid w:val="4BDB26BB"/>
    <w:rsid w:val="4BE05591"/>
    <w:rsid w:val="4C25420B"/>
    <w:rsid w:val="4C3F73AC"/>
    <w:rsid w:val="4C6C3D3E"/>
    <w:rsid w:val="4C852F67"/>
    <w:rsid w:val="4CF14440"/>
    <w:rsid w:val="4D77428F"/>
    <w:rsid w:val="4D844A42"/>
    <w:rsid w:val="4DAC1C79"/>
    <w:rsid w:val="4DEA74C8"/>
    <w:rsid w:val="4E63264D"/>
    <w:rsid w:val="4E7565CA"/>
    <w:rsid w:val="4EAF4807"/>
    <w:rsid w:val="4EFB2AFA"/>
    <w:rsid w:val="4F6B3C13"/>
    <w:rsid w:val="4F974FDE"/>
    <w:rsid w:val="504540CB"/>
    <w:rsid w:val="507808FA"/>
    <w:rsid w:val="50DF4901"/>
    <w:rsid w:val="510F337D"/>
    <w:rsid w:val="51BF4B6A"/>
    <w:rsid w:val="51C83263"/>
    <w:rsid w:val="526B1F15"/>
    <w:rsid w:val="528F59B4"/>
    <w:rsid w:val="52AE2C7A"/>
    <w:rsid w:val="52E71ED5"/>
    <w:rsid w:val="535E36DB"/>
    <w:rsid w:val="537D64D4"/>
    <w:rsid w:val="539F3857"/>
    <w:rsid w:val="53F97A8A"/>
    <w:rsid w:val="547D2130"/>
    <w:rsid w:val="54BE5EE0"/>
    <w:rsid w:val="551F58C2"/>
    <w:rsid w:val="55291C0D"/>
    <w:rsid w:val="552D1F12"/>
    <w:rsid w:val="558A3DBF"/>
    <w:rsid w:val="55EB53CB"/>
    <w:rsid w:val="55EF09CE"/>
    <w:rsid w:val="561F074A"/>
    <w:rsid w:val="563C2527"/>
    <w:rsid w:val="56C93670"/>
    <w:rsid w:val="56EB18DE"/>
    <w:rsid w:val="570F2510"/>
    <w:rsid w:val="575E429D"/>
    <w:rsid w:val="576D08BE"/>
    <w:rsid w:val="578324E4"/>
    <w:rsid w:val="57B61CA1"/>
    <w:rsid w:val="57CB3455"/>
    <w:rsid w:val="57D91457"/>
    <w:rsid w:val="57FB686E"/>
    <w:rsid w:val="57FF32D1"/>
    <w:rsid w:val="587A52E0"/>
    <w:rsid w:val="58B160E0"/>
    <w:rsid w:val="590E3AC1"/>
    <w:rsid w:val="5A34789D"/>
    <w:rsid w:val="5AB363E0"/>
    <w:rsid w:val="5B5C2B4A"/>
    <w:rsid w:val="5B7066A7"/>
    <w:rsid w:val="5C0710C0"/>
    <w:rsid w:val="5C36763A"/>
    <w:rsid w:val="5C4273BF"/>
    <w:rsid w:val="5C4D3E66"/>
    <w:rsid w:val="5C6A4E5E"/>
    <w:rsid w:val="5C6B4782"/>
    <w:rsid w:val="5CD5010B"/>
    <w:rsid w:val="5E132D8E"/>
    <w:rsid w:val="5E441AF9"/>
    <w:rsid w:val="5E635B19"/>
    <w:rsid w:val="5EC36384"/>
    <w:rsid w:val="5EE20199"/>
    <w:rsid w:val="5EF02277"/>
    <w:rsid w:val="5F374E0E"/>
    <w:rsid w:val="5F865BFD"/>
    <w:rsid w:val="5FB47541"/>
    <w:rsid w:val="5FD5231D"/>
    <w:rsid w:val="60766D31"/>
    <w:rsid w:val="607B6DCC"/>
    <w:rsid w:val="61260024"/>
    <w:rsid w:val="6179033B"/>
    <w:rsid w:val="61FB579A"/>
    <w:rsid w:val="62E45E99"/>
    <w:rsid w:val="63990A11"/>
    <w:rsid w:val="63F335F1"/>
    <w:rsid w:val="640569F3"/>
    <w:rsid w:val="646C6EF1"/>
    <w:rsid w:val="649C5E1A"/>
    <w:rsid w:val="64C101B5"/>
    <w:rsid w:val="64FA2810"/>
    <w:rsid w:val="64FC031B"/>
    <w:rsid w:val="651D2DC2"/>
    <w:rsid w:val="656C2111"/>
    <w:rsid w:val="65C4549C"/>
    <w:rsid w:val="65CE4EFC"/>
    <w:rsid w:val="65D3179C"/>
    <w:rsid w:val="668B5075"/>
    <w:rsid w:val="66B73A8A"/>
    <w:rsid w:val="676A02BF"/>
    <w:rsid w:val="679C5156"/>
    <w:rsid w:val="67DE0FA6"/>
    <w:rsid w:val="682246C2"/>
    <w:rsid w:val="69246ACF"/>
    <w:rsid w:val="69323F14"/>
    <w:rsid w:val="697E395A"/>
    <w:rsid w:val="69F804C8"/>
    <w:rsid w:val="69FA6016"/>
    <w:rsid w:val="6AA86CB5"/>
    <w:rsid w:val="6AC60D7B"/>
    <w:rsid w:val="6AD36AC6"/>
    <w:rsid w:val="6AF6134D"/>
    <w:rsid w:val="6B180652"/>
    <w:rsid w:val="6B5A5537"/>
    <w:rsid w:val="6B9671F9"/>
    <w:rsid w:val="6BE23F45"/>
    <w:rsid w:val="6C342842"/>
    <w:rsid w:val="6C3F3981"/>
    <w:rsid w:val="6C483BA0"/>
    <w:rsid w:val="6CD27BC4"/>
    <w:rsid w:val="6D314984"/>
    <w:rsid w:val="6D71639A"/>
    <w:rsid w:val="6E9228DB"/>
    <w:rsid w:val="6E943B2E"/>
    <w:rsid w:val="6F810F6D"/>
    <w:rsid w:val="6F95144B"/>
    <w:rsid w:val="6FC63F9D"/>
    <w:rsid w:val="702D05BC"/>
    <w:rsid w:val="709904AD"/>
    <w:rsid w:val="70BE4BA5"/>
    <w:rsid w:val="71192976"/>
    <w:rsid w:val="716D44D3"/>
    <w:rsid w:val="71C15D9F"/>
    <w:rsid w:val="71E57233"/>
    <w:rsid w:val="722F0678"/>
    <w:rsid w:val="727C0A11"/>
    <w:rsid w:val="72870C47"/>
    <w:rsid w:val="72971601"/>
    <w:rsid w:val="735A7B15"/>
    <w:rsid w:val="739B7042"/>
    <w:rsid w:val="73A74C2B"/>
    <w:rsid w:val="74364D6A"/>
    <w:rsid w:val="744273E1"/>
    <w:rsid w:val="7484040F"/>
    <w:rsid w:val="74926D5A"/>
    <w:rsid w:val="749643A0"/>
    <w:rsid w:val="7566109F"/>
    <w:rsid w:val="75703EC4"/>
    <w:rsid w:val="757930EF"/>
    <w:rsid w:val="759B6BDF"/>
    <w:rsid w:val="76085101"/>
    <w:rsid w:val="76147E47"/>
    <w:rsid w:val="766D29F1"/>
    <w:rsid w:val="7787176C"/>
    <w:rsid w:val="783C1B88"/>
    <w:rsid w:val="786A1600"/>
    <w:rsid w:val="78EA44D2"/>
    <w:rsid w:val="792148AE"/>
    <w:rsid w:val="79D55FA9"/>
    <w:rsid w:val="7A1345A1"/>
    <w:rsid w:val="7A1971D3"/>
    <w:rsid w:val="7A3D0F09"/>
    <w:rsid w:val="7A631389"/>
    <w:rsid w:val="7B30616D"/>
    <w:rsid w:val="7B6D5812"/>
    <w:rsid w:val="7C231830"/>
    <w:rsid w:val="7C8C58E9"/>
    <w:rsid w:val="7CA532F8"/>
    <w:rsid w:val="7D166550"/>
    <w:rsid w:val="7DF424A3"/>
    <w:rsid w:val="7E14330A"/>
    <w:rsid w:val="7EE06033"/>
    <w:rsid w:val="7F545ECE"/>
    <w:rsid w:val="7FAE5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99"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2"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4"/>
    <w:qFormat/>
    <w:uiPriority w:val="0"/>
    <w:pPr>
      <w:keepNext/>
      <w:keepLines/>
      <w:numPr>
        <w:ilvl w:val="0"/>
        <w:numId w:val="1"/>
      </w:numPr>
      <w:tabs>
        <w:tab w:val="left" w:pos="420"/>
        <w:tab w:val="left" w:pos="595"/>
      </w:tabs>
      <w:adjustRightInd w:val="0"/>
      <w:snapToGrid w:val="0"/>
      <w:spacing w:beforeLines="50"/>
      <w:ind w:firstLineChars="0"/>
      <w:jc w:val="left"/>
      <w:outlineLvl w:val="0"/>
    </w:pPr>
    <w:rPr>
      <w:rFonts w:ascii="宋体" w:hAnsi="宋体"/>
      <w:b/>
      <w:bCs/>
      <w:kern w:val="44"/>
      <w:sz w:val="32"/>
      <w:szCs w:val="44"/>
    </w:rPr>
  </w:style>
  <w:style w:type="paragraph" w:styleId="3">
    <w:name w:val="heading 2"/>
    <w:basedOn w:val="1"/>
    <w:next w:val="1"/>
    <w:link w:val="23"/>
    <w:unhideWhenUsed/>
    <w:qFormat/>
    <w:uiPriority w:val="0"/>
    <w:pPr>
      <w:keepNext/>
      <w:keepLines/>
      <w:numPr>
        <w:ilvl w:val="1"/>
        <w:numId w:val="1"/>
      </w:numPr>
      <w:adjustRightInd w:val="0"/>
      <w:snapToGrid w:val="0"/>
      <w:ind w:firstLineChars="0"/>
      <w:jc w:val="left"/>
      <w:outlineLvl w:val="1"/>
    </w:pPr>
    <w:rPr>
      <w:rFonts w:asciiTheme="majorEastAsia" w:hAnsiTheme="majorEastAsia"/>
      <w:b/>
      <w:sz w:val="30"/>
    </w:rPr>
  </w:style>
  <w:style w:type="paragraph" w:styleId="4">
    <w:name w:val="heading 3"/>
    <w:basedOn w:val="1"/>
    <w:next w:val="1"/>
    <w:link w:val="26"/>
    <w:unhideWhenUsed/>
    <w:qFormat/>
    <w:uiPriority w:val="99"/>
    <w:pPr>
      <w:keepNext/>
      <w:keepLines/>
      <w:numPr>
        <w:ilvl w:val="2"/>
        <w:numId w:val="1"/>
      </w:numPr>
      <w:tabs>
        <w:tab w:val="left" w:pos="420"/>
      </w:tabs>
      <w:adjustRightInd w:val="0"/>
      <w:snapToGrid w:val="0"/>
      <w:ind w:firstLineChars="0"/>
      <w:outlineLvl w:val="2"/>
    </w:pPr>
    <w:rPr>
      <w:rFonts w:eastAsiaTheme="majorEastAsia"/>
      <w:b/>
      <w:sz w:val="28"/>
    </w:rPr>
  </w:style>
  <w:style w:type="paragraph" w:styleId="5">
    <w:name w:val="heading 4"/>
    <w:basedOn w:val="1"/>
    <w:next w:val="1"/>
    <w:link w:val="27"/>
    <w:unhideWhenUsed/>
    <w:qFormat/>
    <w:uiPriority w:val="99"/>
    <w:pPr>
      <w:keepNext/>
      <w:keepLines/>
      <w:numPr>
        <w:ilvl w:val="3"/>
        <w:numId w:val="1"/>
      </w:numPr>
      <w:adjustRightInd w:val="0"/>
      <w:snapToGrid w:val="0"/>
      <w:spacing w:beforeLines="50" w:afterLines="50"/>
      <w:ind w:firstLine="0" w:firstLineChars="0"/>
      <w:outlineLvl w:val="3"/>
    </w:pPr>
    <w:rPr>
      <w:rFonts w:ascii="Arial" w:hAnsi="Arial" w:eastAsia="黑体"/>
      <w:b/>
    </w:rPr>
  </w:style>
  <w:style w:type="paragraph" w:styleId="6">
    <w:name w:val="heading 6"/>
    <w:basedOn w:val="1"/>
    <w:next w:val="1"/>
    <w:link w:val="25"/>
    <w:qFormat/>
    <w:uiPriority w:val="0"/>
    <w:pPr>
      <w:widowControl/>
      <w:spacing w:beforeLines="50" w:afterLines="50"/>
      <w:ind w:left="425" w:hanging="425"/>
      <w:jc w:val="left"/>
      <w:outlineLvl w:val="5"/>
    </w:pPr>
    <w:rPr>
      <w:rFonts w:ascii="Calibri" w:hAnsi="Calibri"/>
      <w:b/>
      <w:kern w:val="0"/>
      <w:sz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rPr>
      <w:rFonts w:ascii="Arial" w:hAnsi="Arial" w:eastAsia="黑体" w:cs="Arial"/>
      <w:sz w:val="20"/>
      <w:szCs w:val="20"/>
    </w:rPr>
  </w:style>
  <w:style w:type="paragraph" w:styleId="8">
    <w:name w:val="Document Map"/>
    <w:basedOn w:val="1"/>
    <w:link w:val="30"/>
    <w:semiHidden/>
    <w:unhideWhenUsed/>
    <w:qFormat/>
    <w:uiPriority w:val="99"/>
    <w:rPr>
      <w:rFonts w:ascii="宋体"/>
      <w:sz w:val="18"/>
      <w:szCs w:val="18"/>
    </w:rPr>
  </w:style>
  <w:style w:type="paragraph" w:styleId="9">
    <w:name w:val="annotation text"/>
    <w:basedOn w:val="1"/>
    <w:qFormat/>
    <w:uiPriority w:val="0"/>
    <w:pPr>
      <w:jc w:val="left"/>
    </w:pPr>
  </w:style>
  <w:style w:type="paragraph" w:styleId="10">
    <w:name w:val="Body Text"/>
    <w:basedOn w:val="1"/>
    <w:link w:val="34"/>
    <w:semiHidden/>
    <w:unhideWhenUsed/>
    <w:qFormat/>
    <w:uiPriority w:val="99"/>
    <w:pPr>
      <w:spacing w:after="120"/>
    </w:pPr>
  </w:style>
  <w:style w:type="paragraph" w:styleId="11">
    <w:name w:val="Body Text Indent"/>
    <w:basedOn w:val="1"/>
    <w:qFormat/>
    <w:uiPriority w:val="0"/>
    <w:pPr>
      <w:widowControl/>
      <w:autoSpaceDE w:val="0"/>
      <w:autoSpaceDN w:val="0"/>
      <w:adjustRightInd w:val="0"/>
      <w:spacing w:line="420" w:lineRule="atLeast"/>
      <w:ind w:firstLine="567"/>
      <w:textAlignment w:val="bottom"/>
    </w:pPr>
    <w:rPr>
      <w:rFonts w:ascii="宋体"/>
      <w:szCs w:val="20"/>
      <w:lang w:eastAsia="zh-CN" w:bidi="ar-SA"/>
    </w:rPr>
  </w:style>
  <w:style w:type="paragraph" w:styleId="12">
    <w:name w:val="Date"/>
    <w:basedOn w:val="1"/>
    <w:next w:val="1"/>
    <w:qFormat/>
    <w:uiPriority w:val="0"/>
    <w:pPr>
      <w:ind w:left="100" w:leftChars="2500"/>
    </w:pPr>
    <w:rPr>
      <w:kern w:val="2"/>
      <w:sz w:val="21"/>
      <w:szCs w:val="20"/>
      <w:lang w:eastAsia="zh-CN" w:bidi="ar-SA"/>
    </w:rPr>
  </w:style>
  <w:style w:type="paragraph" w:styleId="13">
    <w:name w:val="Balloon Text"/>
    <w:basedOn w:val="1"/>
    <w:link w:val="31"/>
    <w:semiHidden/>
    <w:unhideWhenUsed/>
    <w:qFormat/>
    <w:uiPriority w:val="99"/>
    <w:pPr>
      <w:spacing w:line="240" w:lineRule="auto"/>
    </w:pPr>
    <w:rPr>
      <w:sz w:val="18"/>
      <w:szCs w:val="18"/>
    </w:rPr>
  </w:style>
  <w:style w:type="paragraph" w:styleId="14">
    <w:name w:val="footer"/>
    <w:basedOn w:val="1"/>
    <w:link w:val="37"/>
    <w:semiHidden/>
    <w:unhideWhenUsed/>
    <w:qFormat/>
    <w:uiPriority w:val="99"/>
    <w:pPr>
      <w:tabs>
        <w:tab w:val="center" w:pos="4153"/>
        <w:tab w:val="right" w:pos="8306"/>
      </w:tabs>
      <w:snapToGrid w:val="0"/>
      <w:spacing w:line="240" w:lineRule="auto"/>
      <w:jc w:val="left"/>
    </w:pPr>
    <w:rPr>
      <w:sz w:val="18"/>
      <w:szCs w:val="18"/>
    </w:rPr>
  </w:style>
  <w:style w:type="paragraph" w:styleId="15">
    <w:name w:val="header"/>
    <w:basedOn w:val="1"/>
    <w:link w:val="36"/>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Body Text First Indent"/>
    <w:basedOn w:val="10"/>
    <w:link w:val="35"/>
    <w:qFormat/>
    <w:uiPriority w:val="0"/>
    <w:pPr>
      <w:spacing w:line="240" w:lineRule="auto"/>
      <w:ind w:firstLine="420" w:firstLineChars="0"/>
    </w:pPr>
    <w:rPr>
      <w:snapToGrid w:val="0"/>
      <w:kern w:val="0"/>
      <w:sz w:val="21"/>
      <w:szCs w:val="20"/>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rPr>
  </w:style>
  <w:style w:type="character" w:styleId="21">
    <w:name w:val="Hyperlink"/>
    <w:basedOn w:val="19"/>
    <w:semiHidden/>
    <w:unhideWhenUsed/>
    <w:qFormat/>
    <w:uiPriority w:val="99"/>
    <w:rPr>
      <w:color w:val="0000FF"/>
      <w:u w:val="single"/>
    </w:rPr>
  </w:style>
  <w:style w:type="character" w:styleId="22">
    <w:name w:val="annotation reference"/>
    <w:basedOn w:val="19"/>
    <w:semiHidden/>
    <w:unhideWhenUsed/>
    <w:qFormat/>
    <w:uiPriority w:val="99"/>
    <w:rPr>
      <w:sz w:val="21"/>
      <w:szCs w:val="21"/>
    </w:rPr>
  </w:style>
  <w:style w:type="character" w:customStyle="1" w:styleId="23">
    <w:name w:val="标题 2 字符"/>
    <w:link w:val="3"/>
    <w:qFormat/>
    <w:uiPriority w:val="0"/>
    <w:rPr>
      <w:rFonts w:asciiTheme="majorEastAsia" w:hAnsiTheme="majorEastAsia"/>
      <w:b/>
      <w:sz w:val="30"/>
      <w:szCs w:val="24"/>
    </w:rPr>
  </w:style>
  <w:style w:type="character" w:customStyle="1" w:styleId="24">
    <w:name w:val="标题 1 字符"/>
    <w:basedOn w:val="19"/>
    <w:link w:val="2"/>
    <w:qFormat/>
    <w:uiPriority w:val="0"/>
    <w:rPr>
      <w:rFonts w:ascii="宋体" w:hAnsi="宋体"/>
      <w:b/>
      <w:bCs/>
      <w:kern w:val="44"/>
      <w:sz w:val="32"/>
      <w:szCs w:val="44"/>
    </w:rPr>
  </w:style>
  <w:style w:type="character" w:customStyle="1" w:styleId="25">
    <w:name w:val="标题 6 字符"/>
    <w:basedOn w:val="19"/>
    <w:link w:val="6"/>
    <w:qFormat/>
    <w:uiPriority w:val="0"/>
    <w:rPr>
      <w:rFonts w:ascii="Calibri" w:hAnsi="Calibri" w:eastAsiaTheme="minorEastAsia"/>
      <w:b/>
      <w:sz w:val="32"/>
      <w:szCs w:val="24"/>
    </w:rPr>
  </w:style>
  <w:style w:type="character" w:customStyle="1" w:styleId="26">
    <w:name w:val="标题 3 字符"/>
    <w:basedOn w:val="19"/>
    <w:link w:val="4"/>
    <w:qFormat/>
    <w:uiPriority w:val="99"/>
    <w:rPr>
      <w:rFonts w:eastAsiaTheme="majorEastAsia"/>
      <w:b/>
      <w:sz w:val="28"/>
      <w:szCs w:val="24"/>
    </w:rPr>
  </w:style>
  <w:style w:type="character" w:customStyle="1" w:styleId="27">
    <w:name w:val="标题 4 字符"/>
    <w:basedOn w:val="19"/>
    <w:link w:val="5"/>
    <w:qFormat/>
    <w:uiPriority w:val="99"/>
    <w:rPr>
      <w:rFonts w:ascii="Arial" w:hAnsi="Arial" w:eastAsia="黑体"/>
      <w:b/>
      <w:sz w:val="24"/>
      <w:szCs w:val="24"/>
    </w:rPr>
  </w:style>
  <w:style w:type="paragraph" w:styleId="28">
    <w:name w:val="List Paragraph"/>
    <w:basedOn w:val="1"/>
    <w:qFormat/>
    <w:uiPriority w:val="99"/>
    <w:pPr>
      <w:ind w:firstLine="420"/>
    </w:pPr>
  </w:style>
  <w:style w:type="character" w:customStyle="1" w:styleId="29">
    <w:name w:val="不明显强调1"/>
    <w:basedOn w:val="19"/>
    <w:qFormat/>
    <w:uiPriority w:val="19"/>
  </w:style>
  <w:style w:type="character" w:customStyle="1" w:styleId="30">
    <w:name w:val="文档结构图 字符"/>
    <w:basedOn w:val="19"/>
    <w:link w:val="8"/>
    <w:semiHidden/>
    <w:qFormat/>
    <w:uiPriority w:val="99"/>
    <w:rPr>
      <w:rFonts w:ascii="宋体"/>
      <w:sz w:val="18"/>
      <w:szCs w:val="18"/>
    </w:rPr>
  </w:style>
  <w:style w:type="character" w:customStyle="1" w:styleId="31">
    <w:name w:val="批注框文本 字符"/>
    <w:basedOn w:val="19"/>
    <w:link w:val="13"/>
    <w:semiHidden/>
    <w:qFormat/>
    <w:uiPriority w:val="99"/>
    <w:rPr>
      <w:rFonts w:eastAsiaTheme="minorEastAsia"/>
      <w:sz w:val="18"/>
      <w:szCs w:val="18"/>
    </w:rPr>
  </w:style>
  <w:style w:type="character" w:customStyle="1" w:styleId="32">
    <w:name w:val="wj 正文 Char"/>
    <w:link w:val="33"/>
    <w:qFormat/>
    <w:uiPriority w:val="0"/>
    <w:rPr>
      <w:rFonts w:ascii="宋体" w:hAnsi="宋体"/>
      <w:sz w:val="24"/>
      <w:szCs w:val="26"/>
    </w:rPr>
  </w:style>
  <w:style w:type="paragraph" w:customStyle="1" w:styleId="33">
    <w:name w:val="wj 正文"/>
    <w:basedOn w:val="1"/>
    <w:link w:val="32"/>
    <w:qFormat/>
    <w:uiPriority w:val="0"/>
    <w:pPr>
      <w:ind w:left="-41" w:leftChars="-41" w:right="-39" w:rightChars="-39" w:firstLine="520"/>
    </w:pPr>
    <w:rPr>
      <w:rFonts w:ascii="宋体" w:hAnsi="宋体"/>
      <w:szCs w:val="26"/>
    </w:rPr>
  </w:style>
  <w:style w:type="character" w:customStyle="1" w:styleId="34">
    <w:name w:val="正文文本 字符"/>
    <w:basedOn w:val="19"/>
    <w:link w:val="10"/>
    <w:semiHidden/>
    <w:qFormat/>
    <w:uiPriority w:val="99"/>
    <w:rPr>
      <w:rFonts w:eastAsiaTheme="minorEastAsia"/>
      <w:sz w:val="24"/>
      <w:szCs w:val="24"/>
    </w:rPr>
  </w:style>
  <w:style w:type="character" w:customStyle="1" w:styleId="35">
    <w:name w:val="正文文本首行缩进 字符"/>
    <w:basedOn w:val="34"/>
    <w:link w:val="16"/>
    <w:qFormat/>
    <w:uiPriority w:val="0"/>
    <w:rPr>
      <w:rFonts w:eastAsiaTheme="minorEastAsia"/>
      <w:snapToGrid w:val="0"/>
      <w:kern w:val="0"/>
      <w:sz w:val="21"/>
      <w:szCs w:val="24"/>
    </w:rPr>
  </w:style>
  <w:style w:type="character" w:customStyle="1" w:styleId="36">
    <w:name w:val="页眉 字符"/>
    <w:basedOn w:val="19"/>
    <w:link w:val="15"/>
    <w:semiHidden/>
    <w:qFormat/>
    <w:uiPriority w:val="99"/>
    <w:rPr>
      <w:rFonts w:eastAsiaTheme="minorEastAsia"/>
      <w:sz w:val="18"/>
      <w:szCs w:val="18"/>
    </w:rPr>
  </w:style>
  <w:style w:type="character" w:customStyle="1" w:styleId="37">
    <w:name w:val="页脚 字符"/>
    <w:basedOn w:val="19"/>
    <w:link w:val="14"/>
    <w:semiHidden/>
    <w:qFormat/>
    <w:uiPriority w:val="99"/>
    <w:rPr>
      <w:rFonts w:eastAsiaTheme="minorEastAsia"/>
      <w:sz w:val="18"/>
      <w:szCs w:val="18"/>
    </w:rPr>
  </w:style>
  <w:style w:type="paragraph" w:customStyle="1" w:styleId="38">
    <w:name w:val="Table Paragraph"/>
    <w:basedOn w:val="1"/>
    <w:qFormat/>
    <w:uiPriority w:val="1"/>
  </w:style>
  <w:style w:type="paragraph" w:customStyle="1" w:styleId="39">
    <w:name w:val="04正文"/>
    <w:basedOn w:val="1"/>
    <w:qFormat/>
    <w:uiPriority w:val="0"/>
    <w:pPr>
      <w:spacing w:line="360" w:lineRule="auto"/>
      <w:ind w:firstLine="200" w:firstLineChars="200"/>
    </w:pPr>
    <w:rPr>
      <w:rFonts w:ascii="宋体" w:hAnsi="宋体"/>
      <w:sz w:val="24"/>
    </w:rPr>
  </w:style>
  <w:style w:type="paragraph" w:customStyle="1" w:styleId="40">
    <w:name w:val="样式 悬挂缩进: 0.02 字符 行距: 固定值 25 磅"/>
    <w:basedOn w:val="1"/>
    <w:autoRedefine/>
    <w:qFormat/>
    <w:uiPriority w:val="0"/>
    <w:pPr>
      <w:spacing w:line="500" w:lineRule="exact"/>
      <w:ind w:left="101" w:leftChars="46" w:hanging="4" w:hangingChars="2"/>
    </w:pPr>
    <w:rPr>
      <w:rFonts w:ascii="Times New Roman" w:hAnsi="Times New Roman"/>
      <w:sz w:val="28"/>
      <w:szCs w:val="20"/>
    </w:rPr>
  </w:style>
  <w:style w:type="paragraph" w:customStyle="1" w:styleId="41">
    <w:name w:val="Char Char Char Char Char Char2 Char3"/>
    <w:basedOn w:val="1"/>
    <w:autoRedefine/>
    <w:qFormat/>
    <w:uiPriority w:val="0"/>
    <w:rPr>
      <w:rFonts w:cs="宋体"/>
    </w:rPr>
  </w:style>
  <w:style w:type="paragraph" w:customStyle="1" w:styleId="42">
    <w:name w:val="_Style 262"/>
    <w:basedOn w:val="1"/>
    <w:next w:val="43"/>
    <w:autoRedefine/>
    <w:qFormat/>
    <w:uiPriority w:val="99"/>
    <w:pPr>
      <w:ind w:firstLine="420"/>
    </w:pPr>
    <w:rPr>
      <w:rFonts w:ascii="Times New Roman" w:hAnsi="Times New Roman"/>
      <w:sz w:val="21"/>
    </w:rPr>
  </w:style>
  <w:style w:type="paragraph" w:customStyle="1" w:styleId="43">
    <w:name w:val="列表段落1"/>
    <w:basedOn w:val="1"/>
    <w:autoRedefine/>
    <w:qFormat/>
    <w:uiPriority w:val="34"/>
    <w:pPr>
      <w:ind w:firstLine="420" w:firstLineChars="200"/>
    </w:pPr>
    <w:rPr>
      <w:rFonts w:hAnsi="宋体" w:cs="宋体"/>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jpeg"/><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2001</Words>
  <Characters>2232</Characters>
  <Lines>48</Lines>
  <Paragraphs>13</Paragraphs>
  <TotalTime>99</TotalTime>
  <ScaleCrop>false</ScaleCrop>
  <LinksUpToDate>false</LinksUpToDate>
  <CharactersWithSpaces>2417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2023-03-01T02:02:00Z</dcterms:created>
  <dc:creator>Administrator</dc:creator>
  <cp:lastModifiedBy>芬芬Joeny</cp:lastModifiedBy>
  <cp:lastPrinted>2023-02-23T15:41:00Z</cp:lastPrinted>
  <dcterms:modified xsi:type="dcterms:W3CDTF">2025-04-27T06:49:09Z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ED64A3EA5A2D436CA43F2FCF7402457D_13</vt:lpwstr>
  </property>
  <property fmtid="{D5CDD505-2E9C-101B-9397-08002B2CF9AE}" pid="4" name="KSOTemplateDocerSaveRecord">
    <vt:lpwstr>eyJoZGlkIjoiZmRhNmJjMTVkNzk0NjljNDA4ODgxMjRlOWEzZTc4YTkiLCJ1c2VySWQiOiI1ODI3MDY5NzgifQ==</vt:lpwstr>
  </property>
</Properties>
</file>